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EFE19">
      <w:pPr>
        <w:jc w:val="center"/>
        <w:rPr>
          <w:rFonts w:ascii="方正小标宋_GBK" w:hAnsi="宋体" w:eastAsia="方正小标宋_GBK"/>
          <w:color w:val="auto"/>
          <w:sz w:val="36"/>
          <w:szCs w:val="36"/>
        </w:rPr>
      </w:pPr>
      <w:r>
        <w:rPr>
          <w:rFonts w:hint="eastAsia" w:ascii="方正小标宋_GBK" w:hAnsi="宋体" w:eastAsia="方正小标宋_GBK"/>
          <w:color w:val="auto"/>
          <w:sz w:val="36"/>
          <w:szCs w:val="36"/>
        </w:rPr>
        <w:t>投</w:t>
      </w:r>
      <w:r>
        <w:rPr>
          <w:rFonts w:ascii="方正小标宋_GBK" w:hAnsi="宋体" w:eastAsia="方正小标宋_GBK"/>
          <w:color w:val="auto"/>
          <w:sz w:val="36"/>
          <w:szCs w:val="36"/>
        </w:rPr>
        <w:t>标人</w:t>
      </w:r>
      <w:r>
        <w:rPr>
          <w:rFonts w:hint="eastAsia" w:ascii="方正小标宋_GBK" w:hAnsi="宋体" w:eastAsia="方正小标宋_GBK"/>
          <w:color w:val="auto"/>
          <w:sz w:val="36"/>
          <w:szCs w:val="36"/>
        </w:rPr>
        <w:t>须</w:t>
      </w:r>
      <w:r>
        <w:rPr>
          <w:rFonts w:ascii="方正小标宋_GBK" w:hAnsi="宋体" w:eastAsia="方正小标宋_GBK"/>
          <w:color w:val="auto"/>
          <w:sz w:val="36"/>
          <w:szCs w:val="36"/>
        </w:rPr>
        <w:t>知</w:t>
      </w:r>
    </w:p>
    <w:p w14:paraId="27CAF503">
      <w:pPr>
        <w:ind w:firstLine="3960" w:firstLineChars="1100"/>
        <w:rPr>
          <w:rFonts w:ascii="方正小标宋_GBK" w:hAnsi="宋体" w:eastAsia="方正小标宋_GBK"/>
          <w:color w:val="auto"/>
          <w:sz w:val="36"/>
          <w:szCs w:val="36"/>
        </w:rPr>
      </w:pPr>
    </w:p>
    <w:p w14:paraId="4B0B9007">
      <w:pPr>
        <w:keepNext w:val="0"/>
        <w:keepLines w:val="0"/>
        <w:pageBreakBefore w:val="0"/>
        <w:kinsoku/>
        <w:wordWrap/>
        <w:overflowPunct/>
        <w:topLinePunct w:val="0"/>
        <w:autoSpaceDE/>
        <w:autoSpaceDN/>
        <w:bidi w:val="0"/>
        <w:adjustRightInd/>
        <w:spacing w:line="594" w:lineRule="exact"/>
        <w:ind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一</w:t>
      </w:r>
      <w:r>
        <w:rPr>
          <w:rFonts w:hint="eastAsia" w:ascii="方正黑体_GBK" w:hAnsi="方正黑体_GBK" w:eastAsia="方正黑体_GBK" w:cs="方正黑体_GBK"/>
          <w:b/>
          <w:color w:val="auto"/>
          <w:sz w:val="32"/>
          <w:szCs w:val="32"/>
        </w:rPr>
        <w:t>、项目基本情况</w:t>
      </w:r>
      <w:bookmarkStart w:id="60" w:name="_GoBack"/>
      <w:bookmarkEnd w:id="60"/>
    </w:p>
    <w:p w14:paraId="16790E41">
      <w:pPr>
        <w:ind w:firstLine="480" w:firstLineChars="150"/>
        <w:jc w:val="left"/>
        <w:rPr>
          <w:rFonts w:hint="default" w:ascii="方正仿宋_GBK" w:hAnsi="方正仿宋_GBK" w:eastAsia="方正仿宋_GBK" w:cs="方正仿宋_GBK"/>
          <w:color w:val="auto"/>
          <w:sz w:val="32"/>
          <w:szCs w:val="32"/>
          <w:u w:val="single"/>
          <w:lang w:val="en-US"/>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项目名称：</w:t>
      </w:r>
      <w:r>
        <w:rPr>
          <w:rFonts w:hint="eastAsia" w:ascii="方正仿宋_GBK" w:hAnsi="方正仿宋_GBK" w:eastAsia="方正仿宋_GBK" w:cs="方正仿宋_GBK"/>
          <w:color w:val="auto"/>
          <w:sz w:val="32"/>
          <w:szCs w:val="32"/>
          <w:u w:val="single"/>
          <w:lang w:val="en-US" w:eastAsia="zh-CN"/>
        </w:rPr>
        <w:t>公共安全智控综合应用开发支撑服务。</w:t>
      </w:r>
    </w:p>
    <w:p w14:paraId="02C51E3B">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招标人：重庆九龙现代</w:t>
      </w:r>
      <w:r>
        <w:rPr>
          <w:rFonts w:hint="eastAsia" w:ascii="方正仿宋_GBK" w:hAnsi="方正仿宋_GBK" w:eastAsia="方正仿宋_GBK" w:cs="方正仿宋_GBK"/>
          <w:color w:val="auto"/>
          <w:sz w:val="32"/>
          <w:szCs w:val="32"/>
          <w:lang w:val="en-US" w:eastAsia="zh-CN"/>
        </w:rPr>
        <w:t>数字科技有限公司</w:t>
      </w:r>
      <w:r>
        <w:rPr>
          <w:rFonts w:hint="eastAsia" w:ascii="方正仿宋_GBK" w:hAnsi="方正仿宋_GBK" w:eastAsia="方正仿宋_GBK" w:cs="方正仿宋_GBK"/>
          <w:color w:val="auto"/>
          <w:sz w:val="32"/>
          <w:szCs w:val="32"/>
        </w:rPr>
        <w:t>。</w:t>
      </w:r>
    </w:p>
    <w:p w14:paraId="5D027C5D">
      <w:pPr>
        <w:spacing w:line="60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项目概况：</w:t>
      </w:r>
      <w:r>
        <w:rPr>
          <w:rFonts w:hint="default" w:ascii="方正仿宋_GBK" w:hAnsi="方正仿宋_GBK" w:eastAsia="方正仿宋_GBK" w:cs="方正仿宋_GBK"/>
          <w:sz w:val="32"/>
          <w:szCs w:val="32"/>
          <w:lang w:val="en-US" w:eastAsia="zh-CN"/>
        </w:rPr>
        <w:t>“公共安全智控综合应用”紧紧围绕贯彻习近平总书记关于“建立大安全大应急框架，完善公共安全体系，推动公共安全治理模式向事前预防转型”的重要指示精神，落实国务院安委办《城市安全风险综合监测预警平台建设指南（2023）》关于“聚焦公共安全领域，立足城市安全重大风险，充分利用‘人防+技防+群防’手段，提升监测预警科学化、规范化、精细化水平”和“重点对大客流风险、建筑火灾风险、城市电梯运行风险、重点车辆运输风险、老旧房屋坍塌风险等突出风险进行感知监测”的部署要求，全面推进家军书记关于“管好学校、医院、养老院、商场、车站码头、高层楼房等重点场所安全，对重大事故隐患实行清单管理、闭环整改”的工作要求，针对公共安全管理中的“风险感知有短板、责任边界不清晰、多跨协同不顺畅”等重难点问题，构建了“公共安全风险隐患感知辨识、公共安全隐患整治、公共安全险情预警告警、公共安全险情多跨协同处置、复盘及评估”5个一级场景和18个二级场景，</w:t>
      </w:r>
      <w:r>
        <w:rPr>
          <w:rFonts w:hint="eastAsia" w:ascii="方正仿宋_GBK" w:hAnsi="方正仿宋_GBK" w:eastAsia="方正仿宋_GBK" w:cs="方正仿宋_GBK"/>
          <w:sz w:val="32"/>
          <w:szCs w:val="32"/>
          <w:lang w:val="en-US" w:eastAsia="zh-CN"/>
        </w:rPr>
        <w:t>同时满足数字驾驶舱、系统管理、对接要求及数据资源建设需求，</w:t>
      </w:r>
      <w:r>
        <w:rPr>
          <w:rFonts w:hint="default" w:ascii="方正仿宋_GBK" w:hAnsi="方正仿宋_GBK" w:eastAsia="方正仿宋_GBK" w:cs="方正仿宋_GBK"/>
          <w:sz w:val="32"/>
          <w:szCs w:val="32"/>
          <w:lang w:val="en-US" w:eastAsia="zh-CN"/>
        </w:rPr>
        <w:t>配套建立公共安全风险清单管理机制、构建公共安全联防联控责任体系、完善公共安全险情协同处置机制、创新风险分区分级评估体系等改革举措，实现公共安全“可感、可视、可统、可防、可救”，为全市防范化解重大风险、促进高质量发展提供“渝中样板”</w:t>
      </w:r>
      <w:r>
        <w:rPr>
          <w:rFonts w:hint="eastAsia" w:ascii="方正仿宋_GBK" w:hAnsi="方正仿宋_GBK" w:eastAsia="方正仿宋_GBK" w:cs="方正仿宋_GBK"/>
          <w:color w:val="auto"/>
          <w:sz w:val="32"/>
          <w:szCs w:val="32"/>
          <w:lang w:val="en-US" w:eastAsia="zh-CN"/>
        </w:rPr>
        <w:t>。</w:t>
      </w:r>
    </w:p>
    <w:p w14:paraId="16C10B0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（四）验收材料：</w:t>
      </w:r>
    </w:p>
    <w:p w14:paraId="21C5FF85">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eastAsia="方正仿宋_GBK" w:cs="Times New Roman"/>
          <w:snapToGrid w:val="0"/>
          <w:kern w:val="0"/>
          <w:sz w:val="32"/>
          <w:szCs w:val="20"/>
          <w:highlight w:val="none"/>
          <w:lang w:val="en-US" w:eastAsia="zh-CN" w:bidi="ar-SA"/>
        </w:rPr>
        <w:t>中标人须提供包括源代码、需求规格说明书、数据库设计规范、测试报告、系统部署及运维手册、用户使用手册等招标人所要求的各项软件开发成果交付物。注：系统源代码需按招标人要求上传至统一的管理平台进行管理维护。</w:t>
      </w:r>
    </w:p>
    <w:p w14:paraId="338D3A1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二、项目投标范围</w:t>
      </w:r>
    </w:p>
    <w:p w14:paraId="694C613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内容：</w:t>
      </w:r>
      <w:r>
        <w:rPr>
          <w:rFonts w:hint="eastAsia" w:ascii="方正仿宋_GBK" w:hAnsi="方正仿宋_GBK" w:eastAsia="方正仿宋_GBK" w:cs="方正仿宋_GBK"/>
          <w:color w:val="auto"/>
          <w:sz w:val="32"/>
          <w:szCs w:val="32"/>
          <w:lang w:val="en-US" w:eastAsia="zh-CN"/>
        </w:rPr>
        <w:t>详见公共安全智控综合应用开发支撑服务清单（附件4）。</w:t>
      </w:r>
    </w:p>
    <w:p w14:paraId="6EC199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工期</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30日历天。投标文件须满足谈判公告对工期的要求，否则其资格性、符合性审查不合格</w:t>
      </w:r>
      <w:r>
        <w:rPr>
          <w:rFonts w:hint="eastAsia" w:ascii="方正仿宋_GBK" w:hAnsi="方正仿宋_GBK" w:eastAsia="方正仿宋_GBK" w:cs="方正仿宋_GBK"/>
          <w:color w:val="auto"/>
          <w:sz w:val="32"/>
          <w:szCs w:val="32"/>
        </w:rPr>
        <w:t>。</w:t>
      </w:r>
    </w:p>
    <w:p w14:paraId="32D57A1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三、投标人资格要求</w:t>
      </w:r>
    </w:p>
    <w:p w14:paraId="60D3D41C">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（一）具备有效的营业执照（须提供有效的营业执照副本复印件）；</w:t>
      </w:r>
    </w:p>
    <w:p w14:paraId="685D5C6D">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（二）具有良好的商业信誉和健全的财务会计制度；</w:t>
      </w:r>
    </w:p>
    <w:p w14:paraId="691ADE04">
      <w:pPr>
        <w:pStyle w:val="12"/>
        <w:spacing w:after="0" w:line="600" w:lineRule="exact"/>
        <w:ind w:left="0" w:leftChars="0"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（三）具有履行合同所必需的设备和专业技术能力；</w:t>
      </w:r>
    </w:p>
    <w:p w14:paraId="3F83FA92">
      <w:pPr>
        <w:spacing w:line="600" w:lineRule="exact"/>
        <w:ind w:firstLine="640" w:firstLineChars="200"/>
        <w:rPr>
          <w:color w:val="auto"/>
          <w:sz w:val="32"/>
          <w:szCs w:val="32"/>
        </w:rPr>
      </w:pPr>
      <w:r>
        <w:rPr>
          <w:rFonts w:hint="eastAsia" w:ascii="方正仿宋_GBK" w:hAnsi="方正仿宋_GBK" w:eastAsia="方正仿宋_GBK" w:cs="方正仿宋_GBK"/>
          <w:color w:val="auto"/>
          <w:sz w:val="32"/>
          <w:szCs w:val="32"/>
        </w:rPr>
        <w:t>（四）有依法缴纳税收和社会保障金的良好记录；</w:t>
      </w:r>
    </w:p>
    <w:p w14:paraId="5BF94195">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（五）参加采购活动前三年内，在经营活动中没有重大违法记录；</w:t>
      </w:r>
    </w:p>
    <w:p w14:paraId="298BDCA1">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（六）本次招标</w:t>
      </w:r>
      <w:r>
        <w:rPr>
          <w:rFonts w:hint="eastAsia" w:ascii="方正仿宋_GBK" w:hAnsi="方正仿宋_GBK" w:eastAsia="方正仿宋_GBK" w:cs="方正仿宋_GBK"/>
          <w:color w:val="auto"/>
          <w:sz w:val="32"/>
          <w:szCs w:val="32"/>
          <w:u w:val="single"/>
        </w:rPr>
        <w:t>不接受</w:t>
      </w:r>
      <w:r>
        <w:rPr>
          <w:rFonts w:hint="eastAsia" w:ascii="方正仿宋_GBK" w:hAnsi="方正仿宋_GBK" w:eastAsia="方正仿宋_GBK" w:cs="方正仿宋_GBK"/>
          <w:color w:val="auto"/>
          <w:sz w:val="32"/>
          <w:szCs w:val="32"/>
        </w:rPr>
        <w:t>联合体投标，中选后不允许分包、转包。</w:t>
      </w:r>
    </w:p>
    <w:p w14:paraId="6554217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四、投标报价</w:t>
      </w:r>
    </w:p>
    <w:p w14:paraId="0383218F">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本项目投标报价最高限价为</w:t>
      </w:r>
      <w:r>
        <w:rPr>
          <w:rFonts w:hint="eastAsia" w:ascii="方正仿宋_GBK" w:hAnsi="方正仿宋_GBK" w:eastAsia="方正仿宋_GBK" w:cs="方正仿宋_GBK"/>
          <w:b/>
          <w:bCs/>
          <w:color w:val="auto"/>
          <w:sz w:val="32"/>
          <w:szCs w:val="32"/>
          <w:highlight w:val="none"/>
          <w:u w:val="single"/>
          <w:lang w:val="en-US" w:eastAsia="zh-CN"/>
        </w:rPr>
        <w:t>295000</w:t>
      </w:r>
      <w:r>
        <w:rPr>
          <w:rFonts w:hint="eastAsia" w:ascii="方正仿宋_GBK" w:hAnsi="方正仿宋_GBK" w:eastAsia="方正仿宋_GBK" w:cs="方正仿宋_GBK"/>
          <w:color w:val="auto"/>
          <w:sz w:val="32"/>
          <w:szCs w:val="32"/>
          <w:highlight w:val="none"/>
          <w:u w:val="single"/>
        </w:rPr>
        <w:t>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宋体" w:eastAsia="方正仿宋_GBK"/>
          <w:color w:val="auto"/>
          <w:sz w:val="32"/>
          <w:szCs w:val="32"/>
        </w:rPr>
        <w:t>投标总报价</w:t>
      </w:r>
      <w:r>
        <w:rPr>
          <w:rFonts w:hint="eastAsia" w:ascii="方正仿宋_GBK" w:hAnsi="宋体" w:eastAsia="方正仿宋_GBK"/>
          <w:color w:val="auto"/>
          <w:sz w:val="32"/>
          <w:szCs w:val="32"/>
          <w:lang w:val="en-US" w:eastAsia="zh-CN"/>
        </w:rPr>
        <w:t>以</w:t>
      </w:r>
      <w:r>
        <w:rPr>
          <w:rFonts w:hint="eastAsia" w:ascii="方正仿宋_GBK" w:hAnsi="宋体" w:eastAsia="方正仿宋_GBK"/>
          <w:color w:val="auto"/>
          <w:sz w:val="32"/>
          <w:szCs w:val="32"/>
        </w:rPr>
        <w:t>元为单位，保留两位小数，小数点后第三位四舍五入，不足两位的按实际位数保留。</w:t>
      </w:r>
    </w:p>
    <w:p w14:paraId="1E79D1C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投标人投标报价不得超过招标人公布的最高限价，否则按废标处理。</w:t>
      </w:r>
    </w:p>
    <w:p w14:paraId="3E84A56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本次报价须为人民币报价，报价包括本项目所有</w:t>
      </w:r>
      <w:r>
        <w:rPr>
          <w:rFonts w:hint="eastAsia" w:ascii="方正仿宋_GBK" w:hAnsi="方正仿宋_GBK" w:eastAsia="方正仿宋_GBK" w:cs="方正仿宋_GBK"/>
          <w:color w:val="auto"/>
          <w:sz w:val="32"/>
          <w:szCs w:val="32"/>
          <w:highlight w:val="none"/>
          <w:lang w:val="en-US" w:eastAsia="zh-CN"/>
        </w:rPr>
        <w:t>设计</w:t>
      </w:r>
      <w:r>
        <w:rPr>
          <w:rFonts w:hint="eastAsia" w:ascii="方正仿宋_GBK" w:hAnsi="方正仿宋_GBK" w:eastAsia="方正仿宋_GBK" w:cs="方正仿宋_GBK"/>
          <w:color w:val="auto"/>
          <w:sz w:val="32"/>
          <w:szCs w:val="32"/>
          <w:highlight w:val="none"/>
          <w:lang w:eastAsia="zh-CN"/>
        </w:rPr>
        <w:t>费、各种应纳的税费等完成本项目的一切费用。因</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color w:val="auto"/>
          <w:sz w:val="32"/>
          <w:szCs w:val="32"/>
          <w:highlight w:val="none"/>
          <w:lang w:eastAsia="zh-CN"/>
        </w:rPr>
        <w:t>自身原因造成漏报、少报皆由其自行承担责任，</w:t>
      </w:r>
      <w:r>
        <w:rPr>
          <w:rFonts w:hint="eastAsia" w:ascii="方正仿宋_GBK" w:hAnsi="方正仿宋_GBK" w:eastAsia="方正仿宋_GBK" w:cs="方正仿宋_GBK"/>
          <w:color w:val="auto"/>
          <w:sz w:val="32"/>
          <w:szCs w:val="32"/>
          <w:highlight w:val="none"/>
          <w:lang w:val="en-US" w:eastAsia="zh-CN"/>
        </w:rPr>
        <w:t>招标</w:t>
      </w:r>
      <w:r>
        <w:rPr>
          <w:rFonts w:hint="eastAsia" w:ascii="方正仿宋_GBK" w:hAnsi="方正仿宋_GBK" w:eastAsia="方正仿宋_GBK" w:cs="方正仿宋_GBK"/>
          <w:color w:val="auto"/>
          <w:sz w:val="32"/>
          <w:szCs w:val="32"/>
          <w:highlight w:val="none"/>
          <w:lang w:eastAsia="zh-CN"/>
        </w:rPr>
        <w:t>人不再补偿。</w:t>
      </w:r>
    </w:p>
    <w:p w14:paraId="3889F024">
      <w:pPr>
        <w:keepNext w:val="0"/>
        <w:keepLines w:val="0"/>
        <w:pageBreakBefore w:val="0"/>
        <w:kinsoku/>
        <w:wordWrap/>
        <w:overflowPunct/>
        <w:topLinePunct w:val="0"/>
        <w:autoSpaceDE/>
        <w:autoSpaceDN/>
        <w:bidi w:val="0"/>
        <w:adjustRightInd/>
        <w:spacing w:line="594" w:lineRule="exact"/>
        <w:ind w:left="0" w:firstLine="632" w:firstLineChars="200"/>
        <w:jc w:val="both"/>
        <w:textAlignment w:val="auto"/>
        <w:rPr>
          <w:rFonts w:hint="eastAsia" w:ascii="方正黑体_GBK" w:hAnsi="方正黑体_GBK" w:eastAsia="方正黑体_GBK" w:cs="方正黑体_GBK"/>
          <w:snapToGrid w:val="0"/>
          <w:color w:val="auto"/>
          <w:w w:val="99"/>
          <w:sz w:val="32"/>
          <w:szCs w:val="32"/>
          <w:lang w:val="en-US" w:eastAsia="zh-CN"/>
        </w:rPr>
      </w:pPr>
      <w:r>
        <w:rPr>
          <w:rFonts w:hint="eastAsia" w:ascii="方正黑体_GBK" w:hAnsi="方正黑体_GBK" w:eastAsia="方正黑体_GBK" w:cs="方正黑体_GBK"/>
          <w:snapToGrid w:val="0"/>
          <w:color w:val="auto"/>
          <w:w w:val="99"/>
          <w:sz w:val="32"/>
          <w:szCs w:val="32"/>
          <w:lang w:val="en-US" w:eastAsia="zh-CN"/>
        </w:rPr>
        <w:t>五</w:t>
      </w:r>
      <w:r>
        <w:rPr>
          <w:rFonts w:hint="eastAsia" w:ascii="方正黑体_GBK" w:hAnsi="方正黑体_GBK" w:eastAsia="方正黑体_GBK" w:cs="方正黑体_GBK"/>
          <w:snapToGrid w:val="0"/>
          <w:color w:val="auto"/>
          <w:w w:val="99"/>
          <w:sz w:val="32"/>
          <w:szCs w:val="32"/>
        </w:rPr>
        <w:t>、付款</w:t>
      </w:r>
      <w:r>
        <w:rPr>
          <w:rFonts w:hint="eastAsia" w:ascii="方正黑体_GBK" w:hAnsi="方正黑体_GBK" w:eastAsia="方正黑体_GBK" w:cs="方正黑体_GBK"/>
          <w:snapToGrid w:val="0"/>
          <w:color w:val="auto"/>
          <w:w w:val="99"/>
          <w:sz w:val="32"/>
          <w:szCs w:val="32"/>
          <w:lang w:val="en-US" w:eastAsia="zh-CN"/>
        </w:rPr>
        <w:t>方式</w:t>
      </w:r>
    </w:p>
    <w:p w14:paraId="7772FF23">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首付款:在本合同签订并生效后，且</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收到上游款项，并在收到</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开具的相应金额的、符合国家规定的增值税专用发票后</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个工作日内，</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向</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支付本合同费用总额的</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w:t>
      </w:r>
    </w:p>
    <w:p w14:paraId="75129584">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初验付款:在</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基本完成本合同约定的服务内容并经</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进行初步验收确认，同时满足最终客户需求，且</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收到上游款项，并在收到</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提交的下述全部文件后</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个工作日内，</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向</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支付本合同费用总额的</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w:t>
      </w:r>
    </w:p>
    <w:p w14:paraId="21B1125F">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①初验报告复印件一份。</w:t>
      </w:r>
    </w:p>
    <w:p w14:paraId="20CC387E">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开具的相应金额的、符合国家规定的增值税专用发票。</w:t>
      </w:r>
    </w:p>
    <w:p w14:paraId="25F03178">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终验付款:在</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完成本合同约定的全部服务内容并经</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验收确认，同时满足最终客户需求，且</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收到上游款项，并在收到</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提交的下述全部文件后</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个工作日内，</w:t>
      </w:r>
      <w:r>
        <w:rPr>
          <w:rFonts w:hint="eastAsia" w:ascii="方正仿宋_GBK" w:hAnsi="方正仿宋_GBK" w:eastAsia="方正仿宋_GBK" w:cs="方正仿宋_GBK"/>
          <w:color w:val="auto"/>
          <w:sz w:val="32"/>
          <w:szCs w:val="32"/>
          <w:lang w:val="en-US" w:eastAsia="zh-CN"/>
        </w:rPr>
        <w:t>招标人</w:t>
      </w:r>
      <w:r>
        <w:rPr>
          <w:rFonts w:hint="eastAsia" w:ascii="方正仿宋_GBK" w:hAnsi="方正仿宋_GBK" w:eastAsia="方正仿宋_GBK" w:cs="方正仿宋_GBK"/>
          <w:color w:val="auto"/>
          <w:sz w:val="32"/>
          <w:szCs w:val="32"/>
        </w:rPr>
        <w:t>向</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支付剩余款项(合同费用总额的</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w:t>
      </w:r>
    </w:p>
    <w:p w14:paraId="71CE8B52">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①终验报告复印件一份。</w:t>
      </w:r>
    </w:p>
    <w:p w14:paraId="2893D3A7">
      <w:pPr>
        <w:spacing w:line="580" w:lineRule="exact"/>
        <w:ind w:firstLine="480" w:firstLineChars="1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w:t>
      </w:r>
      <w:r>
        <w:rPr>
          <w:rFonts w:hint="eastAsia" w:ascii="方正仿宋_GBK" w:hAnsi="方正仿宋_GBK" w:eastAsia="方正仿宋_GBK" w:cs="方正仿宋_GBK"/>
          <w:color w:val="auto"/>
          <w:sz w:val="32"/>
          <w:szCs w:val="32"/>
          <w:lang w:val="en-US" w:eastAsia="zh-CN"/>
        </w:rPr>
        <w:t>中标人</w:t>
      </w:r>
      <w:r>
        <w:rPr>
          <w:rFonts w:hint="eastAsia" w:ascii="方正仿宋_GBK" w:hAnsi="方正仿宋_GBK" w:eastAsia="方正仿宋_GBK" w:cs="方正仿宋_GBK"/>
          <w:color w:val="auto"/>
          <w:sz w:val="32"/>
          <w:szCs w:val="32"/>
        </w:rPr>
        <w:t>开具的相应金额的、符合国家规定的增值税专用发票。</w:t>
      </w:r>
    </w:p>
    <w:p w14:paraId="4DAE7CEE">
      <w:pPr>
        <w:spacing w:line="580" w:lineRule="exact"/>
        <w:ind w:firstLine="480" w:firstLineChars="15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（二）本合同所约定价款均为含税价，中标方按现行税法规定及招标人要求开具增值税专用发票。</w:t>
      </w:r>
    </w:p>
    <w:p w14:paraId="6B5C4E6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六</w:t>
      </w:r>
      <w:r>
        <w:rPr>
          <w:rFonts w:hint="eastAsia" w:ascii="方正黑体_GBK" w:hAnsi="方正黑体_GBK" w:eastAsia="方正黑体_GBK" w:cs="方正黑体_GBK"/>
          <w:b/>
          <w:color w:val="auto"/>
          <w:sz w:val="32"/>
          <w:szCs w:val="32"/>
        </w:rPr>
        <w:t>、投标文件要求</w:t>
      </w:r>
    </w:p>
    <w:p w14:paraId="63AB632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（一）投标文件组成：</w:t>
      </w:r>
    </w:p>
    <w:p w14:paraId="2A9E7A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1、投标报价函（需加盖公司鲜章及法人签章）；</w:t>
      </w:r>
    </w:p>
    <w:p w14:paraId="69B751D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有效公司营业执照复印件（需加盖公司鲜章）；</w:t>
      </w:r>
    </w:p>
    <w:p w14:paraId="290E560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、有效公司资质证书复印件（需加盖公司鲜章）；</w:t>
      </w:r>
    </w:p>
    <w:p w14:paraId="687F9A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、授权委托书（加盖公司鲜章）；</w:t>
      </w:r>
    </w:p>
    <w:p w14:paraId="45B7AB6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5、承诺书（加盖公司鲜章）；</w:t>
      </w:r>
    </w:p>
    <w:p w14:paraId="32B3A77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（二）投标文件制作</w:t>
      </w:r>
    </w:p>
    <w:p w14:paraId="097ED44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1、各投标人应当按要求编制投标文件，并对</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文件提出的要求和条件作出实质性响应，纸质文件原则上采用软面订本，同时应编制完整的页码、目录。响应文件</w:t>
      </w:r>
      <w:r>
        <w:rPr>
          <w:rFonts w:hint="eastAsia" w:ascii="方正仿宋_GBK" w:hAnsi="方正仿宋_GBK" w:eastAsia="方正仿宋_GBK" w:cs="方正仿宋_GBK"/>
          <w:b/>
          <w:color w:val="auto"/>
          <w:sz w:val="32"/>
          <w:szCs w:val="32"/>
          <w:u w:val="single"/>
        </w:rPr>
        <w:t>一式二份</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color w:val="auto"/>
          <w:sz w:val="32"/>
          <w:szCs w:val="32"/>
        </w:rPr>
        <w:t>两份响应文件应保持内容一致</w:t>
      </w:r>
      <w:r>
        <w:rPr>
          <w:rFonts w:hint="eastAsia" w:ascii="方正仿宋_GBK" w:hAnsi="方正仿宋_GBK" w:eastAsia="方正仿宋_GBK" w:cs="方正仿宋_GBK"/>
          <w:color w:val="auto"/>
          <w:sz w:val="32"/>
          <w:szCs w:val="32"/>
        </w:rPr>
        <w:t>，如投标人两份投标文件不一致，将按有利于招标人的一份投标文件进行评标）</w:t>
      </w:r>
      <w:r>
        <w:rPr>
          <w:rFonts w:hint="eastAsia" w:ascii="方正仿宋_GBK" w:hAnsi="方正仿宋_GBK" w:eastAsia="方正仿宋_GBK" w:cs="方正仿宋_GBK"/>
          <w:color w:val="auto"/>
          <w:sz w:val="32"/>
          <w:szCs w:val="32"/>
          <w:lang w:eastAsia="zh-CN"/>
        </w:rPr>
        <w:t>。</w:t>
      </w:r>
    </w:p>
    <w:p w14:paraId="1E647C54">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2、投标文件应采用档案袋密封，封皮上注明“项目名称”、“投标人名称”字样，档案袋的封口应加盖公章或法人授权代表签字。</w:t>
      </w:r>
    </w:p>
    <w:p w14:paraId="32407341">
      <w:pPr>
        <w:spacing w:line="5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七、投标文件的递交</w:t>
      </w:r>
    </w:p>
    <w:p w14:paraId="6E6C931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（一）投标文件的递交时间：详见谈判公告。</w:t>
      </w:r>
    </w:p>
    <w:p w14:paraId="05F58D09">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（二）递交地点</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重庆市九龙坡区二郎街道融堃</w:t>
      </w:r>
      <w:r>
        <w:rPr>
          <w:rFonts w:hint="eastAsia" w:ascii="宋体" w:hAnsi="宋体" w:eastAsia="宋体" w:cs="宋体"/>
          <w:color w:val="auto"/>
          <w:sz w:val="32"/>
          <w:szCs w:val="32"/>
        </w:rPr>
        <w:t>•</w:t>
      </w:r>
      <w:r>
        <w:rPr>
          <w:rFonts w:hint="eastAsia" w:ascii="方正仿宋_GBK" w:hAnsi="方正仿宋_GBK" w:eastAsia="方正仿宋_GBK" w:cs="方正仿宋_GBK"/>
          <w:color w:val="auto"/>
          <w:sz w:val="32"/>
          <w:szCs w:val="32"/>
        </w:rPr>
        <w:t>彩云里</w:t>
      </w:r>
      <w:r>
        <w:rPr>
          <w:rFonts w:hint="eastAsia" w:ascii="方正仿宋_GBK" w:hAnsi="Times New Roman" w:eastAsia="方正仿宋_GBK" w:cs="Times New Roman"/>
          <w:color w:val="auto"/>
          <w:sz w:val="32"/>
          <w:szCs w:val="32"/>
        </w:rPr>
        <w:t>16楼。</w:t>
      </w:r>
    </w:p>
    <w:p w14:paraId="4175C90B">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（三）投标截止时间：详见谈判公告；</w:t>
      </w:r>
    </w:p>
    <w:p w14:paraId="1FFFC12B">
      <w:pPr>
        <w:spacing w:line="580" w:lineRule="exact"/>
        <w:ind w:firstLine="1558" w:firstLineChars="487"/>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开标时间：同投标截止时间。</w:t>
      </w:r>
    </w:p>
    <w:p w14:paraId="394FF71C">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（四）</w:t>
      </w:r>
      <w:r>
        <w:rPr>
          <w:rFonts w:hint="eastAsia" w:ascii="方正仿宋_GBK" w:hAnsi="Times New Roman" w:eastAsia="方正仿宋_GBK" w:cs="Times New Roman"/>
          <w:b/>
          <w:color w:val="auto"/>
          <w:sz w:val="32"/>
          <w:szCs w:val="32"/>
        </w:rPr>
        <w:t>投标截止时间后送达的投标文件招标人不予受理；</w:t>
      </w:r>
    </w:p>
    <w:p w14:paraId="130882A4">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（五）谈判参与人员</w:t>
      </w:r>
    </w:p>
    <w:p w14:paraId="328A9722">
      <w:pPr>
        <w:spacing w:line="580" w:lineRule="exact"/>
        <w:ind w:firstLine="643" w:firstLineChars="200"/>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1</w:t>
      </w:r>
      <w:r>
        <w:rPr>
          <w:rFonts w:ascii="方正仿宋_GBK" w:hAnsi="Times New Roman" w:eastAsia="方正仿宋_GBK" w:cs="Times New Roman"/>
          <w:b/>
          <w:color w:val="auto"/>
          <w:sz w:val="32"/>
          <w:szCs w:val="32"/>
        </w:rPr>
        <w:t>.</w:t>
      </w:r>
      <w:r>
        <w:rPr>
          <w:rFonts w:hint="eastAsia" w:ascii="方正仿宋_GBK" w:hAnsi="Times New Roman" w:eastAsia="方正仿宋_GBK" w:cs="Times New Roman"/>
          <w:b/>
          <w:color w:val="auto"/>
          <w:sz w:val="32"/>
          <w:szCs w:val="32"/>
        </w:rPr>
        <w:t>收到邀请书的投标人。未收到邀请的投标文件，招标人将拒绝接收。</w:t>
      </w:r>
    </w:p>
    <w:p w14:paraId="08E79D2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2</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各投标人应当派1名代表参与，至少1人应为法定代表人或具有法定代表人授权委托书的授权代表。</w:t>
      </w:r>
    </w:p>
    <w:p w14:paraId="3C9A82DB">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八</w:t>
      </w:r>
      <w:r>
        <w:rPr>
          <w:rFonts w:hint="eastAsia" w:ascii="方正黑体_GBK" w:hAnsi="方正黑体_GBK" w:eastAsia="方正黑体_GBK" w:cs="方正黑体_GBK"/>
          <w:b/>
          <w:color w:val="auto"/>
          <w:sz w:val="32"/>
          <w:szCs w:val="32"/>
        </w:rPr>
        <w:t>、</w:t>
      </w:r>
      <w:r>
        <w:rPr>
          <w:rFonts w:hint="eastAsia" w:ascii="方正黑体_GBK" w:hAnsi="方正黑体_GBK" w:eastAsia="方正黑体_GBK" w:cs="方正黑体_GBK"/>
          <w:b/>
          <w:color w:val="auto"/>
          <w:sz w:val="32"/>
          <w:szCs w:val="32"/>
          <w:lang w:val="en-US" w:eastAsia="zh-CN"/>
        </w:rPr>
        <w:t>谈判</w:t>
      </w:r>
      <w:r>
        <w:rPr>
          <w:rFonts w:hint="eastAsia" w:ascii="方正黑体_GBK" w:hAnsi="方正黑体_GBK" w:eastAsia="方正黑体_GBK" w:cs="方正黑体_GBK"/>
          <w:b/>
          <w:color w:val="auto"/>
          <w:sz w:val="32"/>
          <w:szCs w:val="32"/>
        </w:rPr>
        <w:t>程序及方法</w:t>
      </w:r>
    </w:p>
    <w:p w14:paraId="7DC9B43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bCs/>
          <w:snapToGrid w:val="0"/>
          <w:color w:val="auto"/>
          <w:sz w:val="32"/>
          <w:szCs w:val="32"/>
        </w:rPr>
      </w:pP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一</w:t>
      </w: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谈判</w:t>
      </w:r>
      <w:r>
        <w:rPr>
          <w:rFonts w:hint="eastAsia" w:ascii="方正仿宋_GBK" w:hAnsi="方正仿宋_GBK" w:eastAsia="方正仿宋_GBK" w:cs="方正仿宋_GBK"/>
          <w:bCs/>
          <w:snapToGrid w:val="0"/>
          <w:color w:val="auto"/>
          <w:sz w:val="32"/>
          <w:szCs w:val="32"/>
        </w:rPr>
        <w:t>程序</w:t>
      </w:r>
    </w:p>
    <w:p w14:paraId="5B90DEC7">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1.投标人签到。</w:t>
      </w:r>
    </w:p>
    <w:p w14:paraId="37B293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2.宣布谈判纪律，公布在投标截止时间前递交投标文件的投标人名称。</w:t>
      </w:r>
    </w:p>
    <w:p w14:paraId="3389C56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3.检查投标文件的密封情况。</w:t>
      </w:r>
    </w:p>
    <w:p w14:paraId="522919D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4.随机开启投标文件，公布投标人名称、投标报价及其他内容，记录在表格上并由投标人确认签字。因投标人原因未签字确认，视为默认开标记录。</w:t>
      </w:r>
    </w:p>
    <w:p w14:paraId="6812A7F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2"/>
          <w:szCs w:val="32"/>
        </w:rPr>
        <w:t>由低到高</w:t>
      </w:r>
      <w:r>
        <w:rPr>
          <w:rFonts w:hint="eastAsia" w:ascii="方正仿宋_GBK" w:hAnsi="方正仿宋_GBK" w:eastAsia="方正仿宋_GBK" w:cs="方正仿宋_GBK"/>
          <w:color w:val="auto"/>
          <w:sz w:val="32"/>
          <w:szCs w:val="32"/>
        </w:rPr>
        <w:t>的顺序进行排序。</w:t>
      </w:r>
    </w:p>
    <w:p w14:paraId="338536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6.评标小组按前述报价排序由低到高依次对投标人的资格条件进行资格性、符合性审查。</w:t>
      </w:r>
    </w:p>
    <w:p w14:paraId="31F5F9D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63497152">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注：</w:t>
      </w:r>
      <w:r>
        <w:rPr>
          <w:rFonts w:hint="eastAsia" w:ascii="方正仿宋_GBK" w:hAnsi="方正仿宋_GBK" w:eastAsia="方正仿宋_GBK" w:cs="方正仿宋_GBK"/>
          <w:color w:val="auto"/>
          <w:sz w:val="32"/>
          <w:szCs w:val="32"/>
        </w:rPr>
        <w:t>投标人应按谈判公告规定的时间和地点参加谈判并签到，否则其投标文件不得参与谈判。</w:t>
      </w:r>
    </w:p>
    <w:p w14:paraId="2F1514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（二）谈判方法</w:t>
      </w:r>
    </w:p>
    <w:p w14:paraId="72C25FC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（1）评标小组的组建</w:t>
      </w:r>
    </w:p>
    <w:p w14:paraId="3DB465C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由招标人按法律法规及相关规定依法组建评标小组。</w:t>
      </w:r>
    </w:p>
    <w:p w14:paraId="1ED1DAF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（2）评标办法</w:t>
      </w:r>
    </w:p>
    <w:p w14:paraId="248F4476">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b/>
          <w:color w:val="auto"/>
          <w:sz w:val="32"/>
          <w:szCs w:val="32"/>
          <w:highlight w:val="none"/>
          <w:u w:val="single"/>
        </w:rPr>
      </w:pPr>
      <w:r>
        <w:rPr>
          <w:rFonts w:hint="eastAsia" w:ascii="方正仿宋_GBK" w:hAnsi="方正仿宋_GBK" w:eastAsia="方正仿宋_GBK" w:cs="方正仿宋_GBK"/>
          <w:b/>
          <w:color w:val="auto"/>
          <w:sz w:val="32"/>
          <w:szCs w:val="32"/>
          <w:highlight w:val="none"/>
          <w:u w:val="single"/>
        </w:rPr>
        <w:t>1.本项目采用经评审的最低价法。</w:t>
      </w:r>
    </w:p>
    <w:p w14:paraId="2F61A6F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2.评标小组将资格性、符合性审查合格的投标人按报价（不高于最高限价）由低到高排序。</w:t>
      </w:r>
    </w:p>
    <w:p w14:paraId="67F7680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365CDA0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（3）评审标准</w:t>
      </w:r>
    </w:p>
    <w:p w14:paraId="25FFCAA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资格性、符合性审查内容：</w:t>
      </w:r>
    </w:p>
    <w:p w14:paraId="0C67C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1.资格性评审：投标人资格条件、信誉条件等。</w:t>
      </w:r>
    </w:p>
    <w:p w14:paraId="7C75839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2.符合性评审：投标文件格式、投标文件密封、盖章齐全、报价是否符合谈判文件要求等。</w:t>
      </w:r>
    </w:p>
    <w:p w14:paraId="7D1D6FC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资格性、符合性审查中有任何一项不符合要求，其资格性、符合性审查不合格，不得成为中标人。</w:t>
      </w:r>
    </w:p>
    <w:p w14:paraId="797ADC65">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九</w:t>
      </w:r>
      <w:r>
        <w:rPr>
          <w:rFonts w:hint="eastAsia" w:ascii="方正黑体_GBK" w:hAnsi="方正黑体_GBK" w:eastAsia="方正黑体_GBK" w:cs="方正黑体_GBK"/>
          <w:b/>
          <w:color w:val="auto"/>
          <w:sz w:val="32"/>
          <w:szCs w:val="32"/>
        </w:rPr>
        <w:t>、中标人的确认</w:t>
      </w:r>
    </w:p>
    <w:p w14:paraId="4727A87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评审小组本着公开、公正、公平的原则，在按照比选标准比选结束后，比选结果在九龙现代产业发展集团网站（http://cqxpgyy.com/index/）上进行公示，公示期3天。</w:t>
      </w:r>
    </w:p>
    <w:p w14:paraId="0DE8D6C7">
      <w:pPr>
        <w:pStyle w:val="12"/>
        <w:keepNext w:val="0"/>
        <w:keepLines w:val="0"/>
        <w:pageBreakBefore w:val="0"/>
        <w:kinsoku/>
        <w:wordWrap/>
        <w:overflowPunct/>
        <w:topLinePunct w:val="0"/>
        <w:autoSpaceDE/>
        <w:autoSpaceDN/>
        <w:bidi w:val="0"/>
        <w:adjustRightInd/>
        <w:spacing w:after="0" w:line="594"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（二）若公示期间未收到异议或投诉，招标人将在公示期结束后3日内以书面形式向中标人发出中标通知书。</w:t>
      </w:r>
    </w:p>
    <w:p w14:paraId="0AB21C3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w:t>
      </w:r>
      <w:r>
        <w:rPr>
          <w:rFonts w:hint="eastAsia" w:ascii="方正黑体_GBK" w:hAnsi="方正黑体_GBK" w:eastAsia="方正黑体_GBK" w:cs="方正黑体_GBK"/>
          <w:color w:val="auto"/>
          <w:sz w:val="32"/>
          <w:szCs w:val="32"/>
        </w:rPr>
        <w:t>、合同签订</w:t>
      </w:r>
    </w:p>
    <w:p w14:paraId="19920D9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4CF16AC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十一</w:t>
      </w:r>
      <w:r>
        <w:rPr>
          <w:rFonts w:hint="eastAsia" w:ascii="方正黑体_GBK" w:hAnsi="方正黑体_GBK" w:eastAsia="方正黑体_GBK" w:cs="方正黑体_GBK"/>
          <w:color w:val="auto"/>
          <w:sz w:val="32"/>
          <w:szCs w:val="32"/>
        </w:rPr>
        <w:t>、弃标处理</w:t>
      </w:r>
    </w:p>
    <w:p w14:paraId="0D75565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（一）在中标公示结束后三日内，中标人未按规定签订合同的，招标人将其列入重庆九龙现代数字科技有限公司信用黑名单，禁止在重庆九龙现代数字科技有限公司承揽相关业务。</w:t>
      </w:r>
    </w:p>
    <w:p w14:paraId="20DB31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（二）中标人放弃中标，给招标人造成损失的，应当赔偿，同时招标人将其列入重庆九龙现代数字科技有限公司信用黑名单，禁止在重庆九龙现代数字科技有限公司承揽相关业务。</w:t>
      </w:r>
    </w:p>
    <w:p w14:paraId="32577A8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（三）中标人放弃或者被取消中标资格时，招标人可按投标人须知第三部分第二条“谈判程序及方法”确定的原则依次序确定中标人，也可以重新组织谈判。</w:t>
      </w:r>
    </w:p>
    <w:p w14:paraId="02A0B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十二</w:t>
      </w:r>
      <w:r>
        <w:rPr>
          <w:rFonts w:hint="eastAsia" w:ascii="方正黑体_GBK" w:hAnsi="方正黑体_GBK" w:eastAsia="方正黑体_GBK" w:cs="方正黑体_GBK"/>
          <w:color w:val="auto"/>
          <w:sz w:val="32"/>
          <w:szCs w:val="32"/>
        </w:rPr>
        <w:t>、重新招标</w:t>
      </w:r>
    </w:p>
    <w:p w14:paraId="114DD6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有下列情形之一的，招标人将重新招标：</w:t>
      </w:r>
    </w:p>
    <w:p w14:paraId="291F2331">
      <w:pPr>
        <w:keepNext w:val="0"/>
        <w:keepLines w:val="0"/>
        <w:pageBreakBefore w:val="0"/>
        <w:numPr>
          <w:ilvl w:val="0"/>
          <w:numId w:val="1"/>
        </w:numPr>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投标截止时间止，投标人少于3个的；</w:t>
      </w:r>
    </w:p>
    <w:p w14:paraId="4D5E1F4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（二）经评标小组评审后否决所有投标的；</w:t>
      </w:r>
    </w:p>
    <w:p w14:paraId="405F108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（三）法律法规规定的其他需重新招标的情形。</w:t>
      </w:r>
    </w:p>
    <w:p w14:paraId="1265B78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、其他</w:t>
      </w:r>
    </w:p>
    <w:p w14:paraId="720838E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除前文要求外，投标人发生以下条款情况之一时，视为无效投标，其投标文件将被拒绝：</w:t>
      </w:r>
    </w:p>
    <w:p w14:paraId="2EBAC69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（一）投标人不符合规定的资格条件的；</w:t>
      </w:r>
    </w:p>
    <w:p w14:paraId="75C12BE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（二）投标人的法定代表人或其授权代表人未签到参加谈判的；</w:t>
      </w:r>
    </w:p>
    <w:p w14:paraId="3857120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（三）法定代表人为同一个人的两个及两个以上法人，母公司、全资子公司及其控股公司参与谈判的；</w:t>
      </w:r>
    </w:p>
    <w:p w14:paraId="00CB18E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（四）单位负责人为同一人或者存在直接控股、管理关系的不同投标人；</w:t>
      </w:r>
    </w:p>
    <w:p w14:paraId="77EB9DF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（五）投标人投标文件内容有与国家现行法律法规相违背的内容，或附有招标人无法接受的条件的。</w:t>
      </w:r>
    </w:p>
    <w:p w14:paraId="4EB6D182">
      <w:pPr>
        <w:rPr>
          <w:rFonts w:hint="eastAsia"/>
          <w:color w:val="auto"/>
        </w:rPr>
      </w:pPr>
    </w:p>
    <w:p w14:paraId="1A0D0626">
      <w:pPr>
        <w:pStyle w:val="12"/>
        <w:rPr>
          <w:rFonts w:hint="eastAsia"/>
          <w:color w:val="auto"/>
        </w:rPr>
      </w:pPr>
    </w:p>
    <w:p w14:paraId="0386F2B4">
      <w:pPr>
        <w:rPr>
          <w:rFonts w:hint="eastAsia"/>
          <w:color w:val="auto"/>
        </w:rPr>
      </w:pPr>
    </w:p>
    <w:p w14:paraId="1163631B">
      <w:pPr>
        <w:pStyle w:val="11"/>
        <w:rPr>
          <w:rFonts w:hint="eastAsia"/>
          <w:color w:val="auto"/>
        </w:rPr>
      </w:pPr>
    </w:p>
    <w:p w14:paraId="711654E0">
      <w:pPr>
        <w:pStyle w:val="11"/>
        <w:rPr>
          <w:rFonts w:hint="eastAsia"/>
          <w:color w:val="auto"/>
        </w:rPr>
      </w:pPr>
    </w:p>
    <w:p w14:paraId="00B4DCEA">
      <w:pPr>
        <w:pStyle w:val="11"/>
        <w:rPr>
          <w:rFonts w:hint="eastAsia"/>
          <w:color w:val="auto"/>
        </w:rPr>
      </w:pPr>
    </w:p>
    <w:p w14:paraId="78B25CB7">
      <w:pPr>
        <w:rPr>
          <w:rFonts w:hint="eastAsia" w:ascii="宋体" w:hAnsi="宋体"/>
          <w:b/>
          <w:color w:val="auto"/>
          <w:sz w:val="28"/>
          <w:szCs w:val="28"/>
        </w:rPr>
      </w:pPr>
    </w:p>
    <w:p w14:paraId="6F583BA5">
      <w:pPr>
        <w:rPr>
          <w:rFonts w:hint="eastAsia" w:ascii="宋体" w:hAnsi="宋体"/>
          <w:b/>
          <w:color w:val="auto"/>
          <w:sz w:val="28"/>
          <w:szCs w:val="28"/>
        </w:rPr>
      </w:pPr>
    </w:p>
    <w:p w14:paraId="3D4ED2BD">
      <w:pPr>
        <w:rPr>
          <w:rFonts w:hint="eastAsia" w:ascii="宋体" w:hAnsi="宋体"/>
          <w:b/>
          <w:color w:val="auto"/>
          <w:sz w:val="28"/>
          <w:szCs w:val="28"/>
        </w:rPr>
      </w:pPr>
    </w:p>
    <w:p w14:paraId="09C5A220">
      <w:pPr>
        <w:rPr>
          <w:rFonts w:hint="eastAsia" w:ascii="宋体" w:hAnsi="宋体"/>
          <w:b/>
          <w:color w:val="auto"/>
          <w:sz w:val="28"/>
          <w:szCs w:val="28"/>
        </w:rPr>
      </w:pPr>
    </w:p>
    <w:p w14:paraId="60C460B0">
      <w:pPr>
        <w:rPr>
          <w:rFonts w:hint="eastAsia" w:ascii="宋体" w:hAnsi="宋体"/>
          <w:b/>
          <w:color w:val="auto"/>
          <w:sz w:val="28"/>
          <w:szCs w:val="28"/>
        </w:rPr>
      </w:pPr>
    </w:p>
    <w:p w14:paraId="1C4C1F8E">
      <w:pPr>
        <w:rPr>
          <w:rFonts w:hint="eastAsia" w:ascii="宋体" w:hAnsi="宋体"/>
          <w:b/>
          <w:color w:val="auto"/>
          <w:sz w:val="28"/>
          <w:szCs w:val="28"/>
        </w:rPr>
      </w:pPr>
    </w:p>
    <w:p w14:paraId="2E22477C">
      <w:pPr>
        <w:rPr>
          <w:rFonts w:hint="eastAsia" w:ascii="宋体" w:hAnsi="宋体"/>
          <w:b/>
          <w:color w:val="auto"/>
          <w:sz w:val="28"/>
          <w:szCs w:val="28"/>
        </w:rPr>
      </w:pPr>
    </w:p>
    <w:p w14:paraId="6FFD5127">
      <w:pPr>
        <w:rPr>
          <w:rFonts w:hint="eastAsia" w:ascii="宋体" w:hAnsi="宋体"/>
          <w:b/>
          <w:color w:val="auto"/>
          <w:sz w:val="28"/>
          <w:szCs w:val="28"/>
        </w:rPr>
      </w:pPr>
    </w:p>
    <w:p w14:paraId="176DD23C">
      <w:pPr>
        <w:rPr>
          <w:rFonts w:hint="eastAsia" w:ascii="宋体" w:hAnsi="宋体"/>
          <w:b/>
          <w:color w:val="auto"/>
          <w:sz w:val="28"/>
          <w:szCs w:val="28"/>
        </w:rPr>
      </w:pPr>
    </w:p>
    <w:p w14:paraId="53239567">
      <w:pPr>
        <w:rPr>
          <w:rFonts w:hint="eastAsia" w:ascii="宋体" w:hAnsi="宋体"/>
          <w:b/>
          <w:color w:val="auto"/>
          <w:sz w:val="28"/>
          <w:szCs w:val="28"/>
        </w:rPr>
      </w:pPr>
    </w:p>
    <w:p w14:paraId="75FF0978">
      <w:pPr>
        <w:rPr>
          <w:rFonts w:hint="eastAsia" w:ascii="宋体" w:hAnsi="宋体"/>
          <w:b/>
          <w:color w:val="auto"/>
          <w:sz w:val="28"/>
          <w:szCs w:val="28"/>
        </w:rPr>
      </w:pPr>
    </w:p>
    <w:p w14:paraId="3AE0405C">
      <w:pPr>
        <w:rPr>
          <w:rFonts w:hint="eastAsia" w:ascii="宋体" w:hAnsi="宋体"/>
          <w:b/>
          <w:color w:val="auto"/>
          <w:sz w:val="28"/>
          <w:szCs w:val="28"/>
        </w:rPr>
      </w:pPr>
    </w:p>
    <w:p w14:paraId="1E11B69E">
      <w:pPr>
        <w:rPr>
          <w:rFonts w:hint="eastAsia" w:ascii="宋体" w:hAnsi="宋体"/>
          <w:b/>
          <w:color w:val="auto"/>
          <w:sz w:val="28"/>
          <w:szCs w:val="28"/>
        </w:rPr>
      </w:pPr>
    </w:p>
    <w:p w14:paraId="21DD35DF">
      <w:pPr>
        <w:rPr>
          <w:rFonts w:hint="eastAsia" w:ascii="宋体" w:hAnsi="宋体"/>
          <w:b/>
          <w:color w:val="auto"/>
          <w:sz w:val="28"/>
          <w:szCs w:val="28"/>
        </w:rPr>
      </w:pPr>
    </w:p>
    <w:p w14:paraId="2F206DBB">
      <w:pPr>
        <w:rPr>
          <w:rFonts w:hint="eastAsia" w:ascii="宋体" w:hAnsi="宋体"/>
          <w:b/>
          <w:color w:val="auto"/>
          <w:sz w:val="28"/>
          <w:szCs w:val="28"/>
        </w:rPr>
      </w:pPr>
    </w:p>
    <w:p w14:paraId="00529000">
      <w:pPr>
        <w:rPr>
          <w:rFonts w:hint="eastAsia" w:ascii="宋体" w:hAnsi="宋体"/>
          <w:b/>
          <w:color w:val="auto"/>
          <w:sz w:val="28"/>
          <w:szCs w:val="28"/>
        </w:rPr>
      </w:pPr>
    </w:p>
    <w:p w14:paraId="50072BAA">
      <w:pPr>
        <w:rPr>
          <w:rFonts w:ascii="宋体" w:hAnsi="宋体"/>
          <w:b/>
          <w:color w:val="auto"/>
          <w:sz w:val="28"/>
          <w:szCs w:val="28"/>
        </w:rPr>
      </w:pPr>
      <w:r>
        <w:rPr>
          <w:rFonts w:hint="eastAsia" w:ascii="宋体" w:hAnsi="宋体"/>
          <w:b/>
          <w:color w:val="auto"/>
          <w:sz w:val="28"/>
          <w:szCs w:val="28"/>
        </w:rPr>
        <w:t>附</w:t>
      </w:r>
      <w:r>
        <w:rPr>
          <w:rFonts w:ascii="宋体" w:hAnsi="宋体"/>
          <w:b/>
          <w:color w:val="auto"/>
          <w:sz w:val="28"/>
          <w:szCs w:val="28"/>
        </w:rPr>
        <w:t>件</w:t>
      </w:r>
      <w:r>
        <w:rPr>
          <w:rFonts w:hint="eastAsia" w:ascii="宋体" w:hAnsi="宋体"/>
          <w:b/>
          <w:color w:val="auto"/>
          <w:sz w:val="28"/>
          <w:szCs w:val="28"/>
        </w:rPr>
        <w:t>1</w:t>
      </w:r>
    </w:p>
    <w:p w14:paraId="73FFB349">
      <w:pPr>
        <w:pStyle w:val="2"/>
        <w:jc w:val="center"/>
        <w:rPr>
          <w:rFonts w:ascii="宋体" w:hAnsi="宋体"/>
          <w:color w:val="auto"/>
          <w:sz w:val="28"/>
        </w:rPr>
      </w:pPr>
      <w:bookmarkStart w:id="0" w:name="_Toc277082643"/>
      <w:bookmarkStart w:id="1" w:name="_Toc369083107"/>
      <w:bookmarkStart w:id="2" w:name="_Toc287607867"/>
      <w:bookmarkStart w:id="3" w:name="_Toc333246452"/>
      <w:bookmarkStart w:id="4" w:name="_Toc224103495"/>
      <w:r>
        <w:rPr>
          <w:rFonts w:hint="eastAsia" w:ascii="宋体" w:hAnsi="宋体"/>
          <w:color w:val="auto"/>
          <w:sz w:val="28"/>
        </w:rPr>
        <w:t>（一）投标函</w:t>
      </w:r>
      <w:bookmarkEnd w:id="0"/>
      <w:bookmarkEnd w:id="1"/>
      <w:bookmarkEnd w:id="2"/>
      <w:bookmarkEnd w:id="3"/>
      <w:bookmarkEnd w:id="4"/>
    </w:p>
    <w:p w14:paraId="092C3D7C">
      <w:pPr>
        <w:tabs>
          <w:tab w:val="left" w:pos="2640"/>
        </w:tabs>
        <w:autoSpaceDE w:val="0"/>
        <w:autoSpaceDN w:val="0"/>
        <w:adjustRightInd w:val="0"/>
        <w:spacing w:line="220" w:lineRule="exact"/>
        <w:ind w:left="120" w:right="-20" w:firstLine="210" w:firstLineChars="100"/>
        <w:rPr>
          <w:rFonts w:ascii="宋体" w:hAnsi="宋体" w:cs="MingLiU"/>
          <w:snapToGrid w:val="0"/>
          <w:color w:val="auto"/>
          <w:szCs w:val="21"/>
        </w:rPr>
      </w:pPr>
      <w:r>
        <w:rPr>
          <w:rFonts w:ascii="宋体" w:hAnsi="宋体"/>
          <w:snapToGrid w:val="0"/>
          <w:color w:val="auto"/>
          <w:szCs w:val="21"/>
          <w:u w:val="single"/>
        </w:rPr>
        <w:tab/>
      </w:r>
      <w:r>
        <w:rPr>
          <w:rFonts w:hint="eastAsia" w:ascii="宋体" w:hAnsi="宋体" w:cs="MingLiU"/>
          <w:snapToGrid w:val="0"/>
          <w:color w:val="auto"/>
          <w:szCs w:val="21"/>
        </w:rPr>
        <w:t>（招标人名称）：</w:t>
      </w:r>
    </w:p>
    <w:p w14:paraId="5F1D06DD">
      <w:pPr>
        <w:autoSpaceDE w:val="0"/>
        <w:autoSpaceDN w:val="0"/>
        <w:adjustRightInd w:val="0"/>
        <w:spacing w:before="15" w:line="140" w:lineRule="exact"/>
        <w:rPr>
          <w:rFonts w:ascii="宋体" w:hAnsi="宋体" w:cs="MingLiU"/>
          <w:snapToGrid w:val="0"/>
          <w:color w:val="auto"/>
          <w:sz w:val="14"/>
          <w:szCs w:val="14"/>
        </w:rPr>
      </w:pPr>
    </w:p>
    <w:p w14:paraId="2048CF72">
      <w:pPr>
        <w:autoSpaceDE w:val="0"/>
        <w:autoSpaceDN w:val="0"/>
        <w:adjustRightInd w:val="0"/>
        <w:spacing w:line="200" w:lineRule="exact"/>
        <w:rPr>
          <w:rFonts w:ascii="宋体" w:hAnsi="宋体" w:cs="MingLiU"/>
          <w:snapToGrid w:val="0"/>
          <w:color w:val="auto"/>
          <w:sz w:val="20"/>
          <w:szCs w:val="20"/>
        </w:rPr>
      </w:pPr>
    </w:p>
    <w:p w14:paraId="3E96A483">
      <w:pPr>
        <w:autoSpaceDE w:val="0"/>
        <w:autoSpaceDN w:val="0"/>
        <w:adjustRightInd w:val="0"/>
        <w:spacing w:line="200" w:lineRule="exact"/>
        <w:rPr>
          <w:rFonts w:ascii="宋体" w:hAnsi="宋体" w:cs="MingLiU"/>
          <w:snapToGrid w:val="0"/>
          <w:color w:val="auto"/>
          <w:sz w:val="20"/>
          <w:szCs w:val="20"/>
        </w:rPr>
      </w:pPr>
    </w:p>
    <w:p w14:paraId="042A817D">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color w:val="auto"/>
          <w:szCs w:val="21"/>
        </w:rPr>
      </w:pPr>
      <w:r>
        <w:rPr>
          <w:rFonts w:ascii="宋体" w:hAnsi="宋体"/>
          <w:snapToGrid w:val="0"/>
          <w:color w:val="auto"/>
          <w:szCs w:val="21"/>
        </w:rPr>
        <w:t>1</w:t>
      </w:r>
      <w:r>
        <w:rPr>
          <w:rFonts w:hint="eastAsia" w:ascii="宋体" w:hAnsi="宋体" w:cs="MingLiU"/>
          <w:snapToGrid w:val="0"/>
          <w:color w:val="auto"/>
          <w:szCs w:val="21"/>
        </w:rPr>
        <w:t>．我方已仔细研究了</w:t>
      </w:r>
      <w:r>
        <w:rPr>
          <w:rFonts w:hint="eastAsia" w:ascii="宋体" w:hAnsi="宋体" w:cs="MingLiU"/>
          <w:snapToGrid w:val="0"/>
          <w:color w:val="auto"/>
          <w:szCs w:val="21"/>
          <w:u w:val="single"/>
          <w:lang w:val="en-US" w:eastAsia="zh-CN"/>
        </w:rPr>
        <w:t xml:space="preserve">           </w:t>
      </w:r>
      <w:r>
        <w:rPr>
          <w:rFonts w:ascii="宋体" w:hAnsi="宋体"/>
          <w:snapToGrid w:val="0"/>
          <w:color w:val="auto"/>
          <w:szCs w:val="21"/>
          <w:u w:val="single"/>
        </w:rPr>
        <w:tab/>
      </w:r>
      <w:r>
        <w:rPr>
          <w:rFonts w:hint="eastAsia" w:ascii="宋体" w:hAnsi="宋体" w:cs="MingLiU"/>
          <w:snapToGrid w:val="0"/>
          <w:color w:val="auto"/>
          <w:szCs w:val="21"/>
        </w:rPr>
        <w:t>（项目名称）招标文件的全部内容，愿意以人民币</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元（大写：</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）的总</w:t>
      </w:r>
      <w:r>
        <w:rPr>
          <w:rFonts w:ascii="宋体" w:hAnsi="宋体" w:cs="MingLiU"/>
          <w:snapToGrid w:val="0"/>
          <w:color w:val="auto"/>
          <w:szCs w:val="21"/>
        </w:rPr>
        <w:t>价</w:t>
      </w:r>
      <w:r>
        <w:rPr>
          <w:rFonts w:hint="eastAsia" w:ascii="宋体" w:hAnsi="宋体" w:cs="MingLiU"/>
          <w:snapToGrid w:val="0"/>
          <w:color w:val="auto"/>
          <w:szCs w:val="21"/>
        </w:rPr>
        <w:t>作为本次投标的</w:t>
      </w:r>
      <w:r>
        <w:rPr>
          <w:rFonts w:hint="eastAsia" w:ascii="宋体" w:hAnsi="宋体"/>
          <w:color w:val="auto"/>
          <w:szCs w:val="21"/>
        </w:rPr>
        <w:t>总报</w:t>
      </w:r>
      <w:r>
        <w:rPr>
          <w:rFonts w:ascii="宋体" w:hAnsi="宋体"/>
          <w:color w:val="auto"/>
          <w:szCs w:val="21"/>
        </w:rPr>
        <w:t>价</w:t>
      </w:r>
      <w:r>
        <w:rPr>
          <w:rFonts w:hint="eastAsia" w:ascii="宋体" w:hAnsi="宋体"/>
          <w:color w:val="auto"/>
          <w:szCs w:val="21"/>
        </w:rPr>
        <w:t>，质量技术要求及验收方法：</w:t>
      </w:r>
      <w:r>
        <w:rPr>
          <w:rFonts w:hint="eastAsia" w:ascii="宋体" w:hAnsi="宋体"/>
          <w:color w:val="auto"/>
          <w:szCs w:val="21"/>
          <w:u w:val="single"/>
        </w:rPr>
        <w:t>满足</w:t>
      </w:r>
      <w:r>
        <w:rPr>
          <w:rFonts w:hint="eastAsia" w:ascii="宋体" w:hAnsi="宋体"/>
          <w:color w:val="auto"/>
          <w:szCs w:val="21"/>
          <w:u w:val="single"/>
          <w:lang w:val="en-US" w:eastAsia="zh-CN"/>
        </w:rPr>
        <w:t>竞争性谈判文件</w:t>
      </w:r>
      <w:r>
        <w:rPr>
          <w:rFonts w:hint="eastAsia" w:ascii="宋体" w:hAnsi="宋体"/>
          <w:color w:val="auto"/>
          <w:szCs w:val="21"/>
          <w:u w:val="single"/>
        </w:rPr>
        <w:t>要求</w:t>
      </w:r>
      <w:r>
        <w:rPr>
          <w:rFonts w:hint="eastAsia" w:ascii="宋体" w:hAnsi="宋体" w:cs="MingLiU"/>
          <w:snapToGrid w:val="0"/>
          <w:color w:val="auto"/>
          <w:szCs w:val="21"/>
        </w:rPr>
        <w:t>，工期</w:t>
      </w:r>
      <w:r>
        <w:rPr>
          <w:rFonts w:hint="eastAsia" w:ascii="宋体" w:hAnsi="宋体" w:cs="MingLiU"/>
          <w:snapToGrid w:val="0"/>
          <w:color w:val="auto"/>
          <w:szCs w:val="21"/>
          <w:u w:val="single"/>
          <w:lang w:val="en-US" w:eastAsia="zh-CN"/>
        </w:rPr>
        <w:t xml:space="preserve">     </w:t>
      </w:r>
      <w:r>
        <w:rPr>
          <w:rFonts w:ascii="宋体" w:hAnsi="宋体" w:cs="MingLiU"/>
          <w:snapToGrid w:val="0"/>
          <w:color w:val="auto"/>
          <w:szCs w:val="21"/>
        </w:rPr>
        <w:t>日历天。</w:t>
      </w:r>
    </w:p>
    <w:p w14:paraId="1E81AEE5">
      <w:pPr>
        <w:autoSpaceDE w:val="0"/>
        <w:autoSpaceDN w:val="0"/>
        <w:adjustRightInd w:val="0"/>
        <w:spacing w:before="15"/>
        <w:ind w:left="540" w:right="-20"/>
        <w:rPr>
          <w:rFonts w:ascii="宋体" w:hAnsi="宋体" w:cs="MingLiU"/>
          <w:snapToGrid w:val="0"/>
          <w:color w:val="auto"/>
          <w:szCs w:val="21"/>
        </w:rPr>
      </w:pPr>
      <w:r>
        <w:rPr>
          <w:rFonts w:ascii="宋体" w:hAnsi="宋体"/>
          <w:snapToGrid w:val="0"/>
          <w:color w:val="auto"/>
          <w:szCs w:val="21"/>
        </w:rPr>
        <w:t>2</w:t>
      </w:r>
      <w:r>
        <w:rPr>
          <w:rFonts w:hint="eastAsia" w:ascii="宋体" w:hAnsi="宋体" w:cs="MingLiU"/>
          <w:snapToGrid w:val="0"/>
          <w:color w:val="auto"/>
          <w:szCs w:val="21"/>
        </w:rPr>
        <w:t>．我方承诺在投标有效期内不修改、撤销投标文件。</w:t>
      </w:r>
    </w:p>
    <w:p w14:paraId="0998589E">
      <w:pPr>
        <w:autoSpaceDE w:val="0"/>
        <w:autoSpaceDN w:val="0"/>
        <w:adjustRightInd w:val="0"/>
        <w:spacing w:before="11" w:line="100" w:lineRule="exact"/>
        <w:rPr>
          <w:rFonts w:ascii="宋体" w:hAnsi="宋体" w:cs="MingLiU"/>
          <w:snapToGrid w:val="0"/>
          <w:color w:val="auto"/>
          <w:sz w:val="10"/>
          <w:szCs w:val="10"/>
        </w:rPr>
      </w:pPr>
    </w:p>
    <w:p w14:paraId="54AD9175">
      <w:pPr>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3</w:t>
      </w:r>
      <w:r>
        <w:rPr>
          <w:rFonts w:hint="eastAsia" w:ascii="宋体" w:hAnsi="宋体" w:cs="MingLiU"/>
          <w:snapToGrid w:val="0"/>
          <w:color w:val="auto"/>
          <w:szCs w:val="21"/>
        </w:rPr>
        <w:t>．如我方中标：</w:t>
      </w:r>
    </w:p>
    <w:p w14:paraId="01C33ABF">
      <w:pPr>
        <w:autoSpaceDE w:val="0"/>
        <w:autoSpaceDN w:val="0"/>
        <w:adjustRightInd w:val="0"/>
        <w:spacing w:before="11" w:line="100" w:lineRule="exact"/>
        <w:rPr>
          <w:rFonts w:ascii="宋体" w:hAnsi="宋体" w:cs="MingLiU"/>
          <w:snapToGrid w:val="0"/>
          <w:color w:val="auto"/>
          <w:sz w:val="10"/>
          <w:szCs w:val="10"/>
        </w:rPr>
      </w:pPr>
    </w:p>
    <w:p w14:paraId="20499F15">
      <w:pPr>
        <w:autoSpaceDE w:val="0"/>
        <w:autoSpaceDN w:val="0"/>
        <w:adjustRightInd w:val="0"/>
        <w:ind w:right="-80" w:firstLine="945" w:firstLineChars="450"/>
        <w:rPr>
          <w:rFonts w:ascii="宋体" w:hAnsi="宋体" w:cs="MingLiU"/>
          <w:snapToGrid w:val="0"/>
          <w:color w:val="auto"/>
          <w:szCs w:val="21"/>
        </w:rPr>
      </w:pPr>
      <w:r>
        <w:rPr>
          <w:rFonts w:hint="eastAsia" w:ascii="宋体" w:hAnsi="宋体" w:cs="MingLiU"/>
          <w:snapToGrid w:val="0"/>
          <w:color w:val="auto"/>
          <w:szCs w:val="21"/>
        </w:rPr>
        <w:t>我方承诺在收到中标通知书后，在中标通知书规定的期限内与你方签订合同。</w:t>
      </w:r>
    </w:p>
    <w:p w14:paraId="7CC1CA96">
      <w:pPr>
        <w:autoSpaceDE w:val="0"/>
        <w:autoSpaceDN w:val="0"/>
        <w:adjustRightInd w:val="0"/>
        <w:spacing w:before="10" w:line="100" w:lineRule="exact"/>
        <w:rPr>
          <w:rFonts w:ascii="宋体" w:hAnsi="宋体" w:cs="MingLiU"/>
          <w:snapToGrid w:val="0"/>
          <w:color w:val="auto"/>
          <w:sz w:val="10"/>
          <w:szCs w:val="10"/>
        </w:rPr>
      </w:pPr>
    </w:p>
    <w:p w14:paraId="35BEA7E5">
      <w:pPr>
        <w:autoSpaceDE w:val="0"/>
        <w:autoSpaceDN w:val="0"/>
        <w:adjustRightInd w:val="0"/>
        <w:spacing w:before="10" w:line="100" w:lineRule="exact"/>
        <w:rPr>
          <w:rFonts w:ascii="宋体" w:hAnsi="宋体" w:cs="MingLiU"/>
          <w:snapToGrid w:val="0"/>
          <w:color w:val="auto"/>
          <w:sz w:val="10"/>
          <w:szCs w:val="10"/>
        </w:rPr>
      </w:pPr>
    </w:p>
    <w:p w14:paraId="57B62DBD">
      <w:pPr>
        <w:tabs>
          <w:tab w:val="left" w:pos="4940"/>
        </w:tabs>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4</w:t>
      </w:r>
      <w:r>
        <w:rPr>
          <w:rFonts w:hint="eastAsia" w:ascii="宋体" w:hAnsi="宋体" w:cs="MingLiU"/>
          <w:snapToGrid w:val="0"/>
          <w:color w:val="auto"/>
          <w:szCs w:val="21"/>
        </w:rPr>
        <w:t>．</w:t>
      </w:r>
      <w:r>
        <w:rPr>
          <w:rFonts w:ascii="宋体" w:hAnsi="宋体"/>
          <w:snapToGrid w:val="0"/>
          <w:color w:val="auto"/>
          <w:szCs w:val="21"/>
          <w:u w:val="single"/>
        </w:rPr>
        <w:tab/>
      </w:r>
      <w:r>
        <w:rPr>
          <w:rFonts w:hint="eastAsia" w:ascii="宋体" w:hAnsi="宋体" w:cs="MingLiU"/>
          <w:snapToGrid w:val="0"/>
          <w:color w:val="auto"/>
          <w:szCs w:val="21"/>
        </w:rPr>
        <w:t>（其他补充说明）。</w:t>
      </w:r>
    </w:p>
    <w:p w14:paraId="22EED7FB">
      <w:pPr>
        <w:tabs>
          <w:tab w:val="left" w:pos="7140"/>
          <w:tab w:val="left" w:pos="7560"/>
          <w:tab w:val="left" w:pos="8300"/>
        </w:tabs>
        <w:autoSpaceDE w:val="0"/>
        <w:autoSpaceDN w:val="0"/>
        <w:adjustRightInd w:val="0"/>
        <w:spacing w:line="370" w:lineRule="auto"/>
        <w:ind w:right="210"/>
        <w:rPr>
          <w:rFonts w:ascii="宋体" w:hAnsi="宋体" w:cs="MingLiU"/>
          <w:snapToGrid w:val="0"/>
          <w:color w:val="auto"/>
          <w:szCs w:val="21"/>
        </w:rPr>
      </w:pPr>
    </w:p>
    <w:p w14:paraId="4CFF5343">
      <w:pPr>
        <w:tabs>
          <w:tab w:val="left" w:pos="7140"/>
          <w:tab w:val="left" w:pos="7560"/>
          <w:tab w:val="left" w:pos="8300"/>
        </w:tabs>
        <w:autoSpaceDE w:val="0"/>
        <w:autoSpaceDN w:val="0"/>
        <w:adjustRightInd w:val="0"/>
        <w:ind w:right="210"/>
        <w:rPr>
          <w:rFonts w:ascii="宋体" w:hAnsi="宋体" w:cs="MingLiU"/>
          <w:snapToGrid w:val="0"/>
          <w:color w:val="auto"/>
          <w:szCs w:val="21"/>
        </w:rPr>
      </w:pPr>
    </w:p>
    <w:p w14:paraId="071C9F31">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79605E61">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02AB8DC8">
      <w:pPr>
        <w:tabs>
          <w:tab w:val="left" w:pos="7140"/>
          <w:tab w:val="left" w:pos="7560"/>
          <w:tab w:val="left" w:pos="8300"/>
        </w:tabs>
        <w:autoSpaceDE w:val="0"/>
        <w:autoSpaceDN w:val="0"/>
        <w:adjustRightInd w:val="0"/>
        <w:ind w:right="210" w:firstLine="1995" w:firstLineChars="9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57B9B0D8">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77189E08">
      <w:pPr>
        <w:tabs>
          <w:tab w:val="left" w:pos="7035"/>
          <w:tab w:val="left" w:pos="7560"/>
          <w:tab w:val="left" w:pos="8300"/>
        </w:tabs>
        <w:autoSpaceDE w:val="0"/>
        <w:autoSpaceDN w:val="0"/>
        <w:adjustRightInd w:val="0"/>
        <w:ind w:right="210" w:firstLine="1984" w:firstLineChars="945"/>
        <w:rPr>
          <w:rFonts w:hint="eastAsia" w:ascii="宋体" w:hAnsi="宋体" w:cs="MingLiU" w:eastAsiaTheme="minorEastAsia"/>
          <w:snapToGrid w:val="0"/>
          <w:color w:val="auto"/>
          <w:szCs w:val="21"/>
          <w:lang w:val="en-US" w:eastAsia="zh-CN"/>
        </w:rPr>
      </w:pPr>
      <w:r>
        <w:rPr>
          <w:rFonts w:hint="eastAsia" w:ascii="宋体" w:hAnsi="宋体" w:cs="MingLiU"/>
          <w:snapToGrid w:val="0"/>
          <w:color w:val="auto"/>
          <w:szCs w:val="21"/>
        </w:rPr>
        <w:t>地址：</w:t>
      </w:r>
      <w:r>
        <w:rPr>
          <w:rFonts w:ascii="宋体" w:hAnsi="宋体"/>
          <w:snapToGrid w:val="0"/>
          <w:color w:val="auto"/>
          <w:szCs w:val="21"/>
          <w:u w:val="single"/>
        </w:rPr>
        <w:tab/>
      </w:r>
    </w:p>
    <w:p w14:paraId="74FCE830">
      <w:pPr>
        <w:autoSpaceDE w:val="0"/>
        <w:autoSpaceDN w:val="0"/>
        <w:adjustRightInd w:val="0"/>
        <w:spacing w:before="14"/>
        <w:rPr>
          <w:rFonts w:ascii="宋体" w:hAnsi="宋体" w:cs="MingLiU"/>
          <w:snapToGrid w:val="0"/>
          <w:color w:val="auto"/>
          <w:sz w:val="20"/>
          <w:szCs w:val="20"/>
        </w:rPr>
      </w:pPr>
    </w:p>
    <w:p w14:paraId="22EA4DDC">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电话：</w:t>
      </w:r>
      <w:r>
        <w:rPr>
          <w:rFonts w:hint="eastAsia" w:ascii="宋体" w:hAnsi="宋体"/>
          <w:snapToGrid w:val="0"/>
          <w:color w:val="auto"/>
          <w:szCs w:val="21"/>
          <w:u w:val="single"/>
        </w:rPr>
        <w:t>　　　　　　　　　　　　　　　　　　　　</w:t>
      </w:r>
    </w:p>
    <w:p w14:paraId="0F8BCD15">
      <w:pPr>
        <w:autoSpaceDE w:val="0"/>
        <w:autoSpaceDN w:val="0"/>
        <w:adjustRightInd w:val="0"/>
        <w:spacing w:before="13"/>
        <w:rPr>
          <w:rFonts w:ascii="宋体" w:hAnsi="宋体" w:cs="MingLiU"/>
          <w:snapToGrid w:val="0"/>
          <w:color w:val="auto"/>
          <w:sz w:val="20"/>
          <w:szCs w:val="20"/>
        </w:rPr>
      </w:pPr>
    </w:p>
    <w:p w14:paraId="4E85EBAC">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传真：</w:t>
      </w:r>
      <w:r>
        <w:rPr>
          <w:rFonts w:hint="eastAsia" w:ascii="宋体" w:hAnsi="宋体"/>
          <w:snapToGrid w:val="0"/>
          <w:color w:val="auto"/>
          <w:szCs w:val="21"/>
          <w:u w:val="single"/>
        </w:rPr>
        <w:t>　　　　　　　　　　　　　　　　　　　　</w:t>
      </w:r>
    </w:p>
    <w:p w14:paraId="044D2D11">
      <w:pPr>
        <w:tabs>
          <w:tab w:val="left" w:pos="8300"/>
        </w:tabs>
        <w:autoSpaceDE w:val="0"/>
        <w:autoSpaceDN w:val="0"/>
        <w:adjustRightInd w:val="0"/>
        <w:ind w:left="3796" w:right="-20"/>
        <w:rPr>
          <w:rFonts w:ascii="宋体" w:hAnsi="宋体" w:cs="MingLiU"/>
          <w:snapToGrid w:val="0"/>
          <w:color w:val="auto"/>
          <w:szCs w:val="21"/>
        </w:rPr>
      </w:pPr>
    </w:p>
    <w:p w14:paraId="012154B8">
      <w:pPr>
        <w:tabs>
          <w:tab w:val="left" w:pos="8300"/>
        </w:tabs>
        <w:autoSpaceDE w:val="0"/>
        <w:autoSpaceDN w:val="0"/>
        <w:adjustRightInd w:val="0"/>
        <w:ind w:left="1985" w:right="-20"/>
        <w:rPr>
          <w:rFonts w:ascii="宋体" w:hAnsi="宋体" w:cs="MingLiU"/>
          <w:snapToGrid w:val="0"/>
          <w:color w:val="auto"/>
          <w:sz w:val="20"/>
          <w:szCs w:val="20"/>
        </w:rPr>
      </w:pPr>
      <w:r>
        <w:rPr>
          <w:rFonts w:hint="eastAsia" w:ascii="宋体" w:hAnsi="宋体" w:cs="MingLiU"/>
          <w:snapToGrid w:val="0"/>
          <w:color w:val="auto"/>
          <w:szCs w:val="21"/>
        </w:rPr>
        <w:t>邮政编码：</w:t>
      </w:r>
      <w:r>
        <w:rPr>
          <w:rFonts w:hint="eastAsia" w:ascii="宋体" w:hAnsi="宋体" w:cs="MingLiU"/>
          <w:snapToGrid w:val="0"/>
          <w:color w:val="auto"/>
          <w:w w:val="200"/>
          <w:szCs w:val="21"/>
          <w:u w:val="single"/>
        </w:rPr>
        <w:t>　　　　　　　　　</w:t>
      </w:r>
    </w:p>
    <w:p w14:paraId="103D1784">
      <w:pPr>
        <w:autoSpaceDE w:val="0"/>
        <w:autoSpaceDN w:val="0"/>
        <w:adjustRightInd w:val="0"/>
        <w:rPr>
          <w:rFonts w:ascii="宋体" w:hAnsi="宋体" w:cs="MingLiU"/>
          <w:snapToGrid w:val="0"/>
          <w:color w:val="auto"/>
          <w:sz w:val="20"/>
          <w:szCs w:val="20"/>
        </w:rPr>
      </w:pPr>
    </w:p>
    <w:p w14:paraId="577D88B6">
      <w:pPr>
        <w:autoSpaceDE w:val="0"/>
        <w:autoSpaceDN w:val="0"/>
        <w:adjustRightInd w:val="0"/>
        <w:spacing w:before="14" w:line="240" w:lineRule="exact"/>
        <w:rPr>
          <w:rFonts w:ascii="宋体" w:hAnsi="宋体" w:cs="MingLiU"/>
          <w:snapToGrid w:val="0"/>
          <w:color w:val="auto"/>
          <w:sz w:val="24"/>
        </w:rPr>
      </w:pPr>
    </w:p>
    <w:p w14:paraId="690E28A3">
      <w:pPr>
        <w:tabs>
          <w:tab w:val="left" w:pos="6000"/>
          <w:tab w:val="left" w:pos="7040"/>
          <w:tab w:val="left" w:pos="8100"/>
        </w:tabs>
        <w:autoSpaceDE w:val="0"/>
        <w:autoSpaceDN w:val="0"/>
        <w:adjustRightInd w:val="0"/>
        <w:ind w:right="-20" w:firstLine="4924" w:firstLineChars="23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00DD21F1">
      <w:pPr>
        <w:rPr>
          <w:rFonts w:ascii="宋体" w:hAnsi="宋体"/>
          <w:color w:val="auto"/>
          <w:sz w:val="28"/>
          <w:szCs w:val="28"/>
        </w:rPr>
      </w:pPr>
    </w:p>
    <w:p w14:paraId="01705423">
      <w:pPr>
        <w:rPr>
          <w:rFonts w:ascii="宋体" w:hAnsi="宋体"/>
          <w:color w:val="auto"/>
          <w:sz w:val="24"/>
          <w:szCs w:val="28"/>
        </w:rPr>
      </w:pPr>
      <w:r>
        <w:rPr>
          <w:rFonts w:ascii="宋体" w:hAnsi="宋体"/>
          <w:color w:val="auto"/>
          <w:sz w:val="28"/>
          <w:szCs w:val="28"/>
        </w:rPr>
        <w:t>注</w:t>
      </w:r>
      <w:r>
        <w:rPr>
          <w:rFonts w:hint="eastAsia" w:ascii="宋体" w:hAnsi="宋体"/>
          <w:color w:val="auto"/>
          <w:sz w:val="28"/>
          <w:szCs w:val="28"/>
        </w:rPr>
        <w:t>：</w:t>
      </w:r>
      <w:r>
        <w:rPr>
          <w:rFonts w:hint="eastAsia" w:ascii="宋体" w:hAnsi="宋体"/>
          <w:color w:val="auto"/>
          <w:sz w:val="24"/>
          <w:szCs w:val="28"/>
        </w:rPr>
        <w:t>大写金额和小写金额不一致时，以大写金额为准；</w:t>
      </w:r>
    </w:p>
    <w:p w14:paraId="40A3414C">
      <w:pPr>
        <w:rPr>
          <w:color w:val="auto"/>
          <w:sz w:val="28"/>
          <w:szCs w:val="28"/>
        </w:rPr>
      </w:pPr>
    </w:p>
    <w:p w14:paraId="6E8C1E9B">
      <w:pPr>
        <w:rPr>
          <w:color w:val="auto"/>
          <w:sz w:val="28"/>
          <w:szCs w:val="28"/>
        </w:rPr>
      </w:pPr>
    </w:p>
    <w:p w14:paraId="4E0C67E3">
      <w:pPr>
        <w:rPr>
          <w:color w:val="auto"/>
          <w:sz w:val="28"/>
          <w:szCs w:val="28"/>
        </w:rPr>
      </w:pPr>
    </w:p>
    <w:p w14:paraId="557C5E55">
      <w:pPr>
        <w:rPr>
          <w:rFonts w:ascii="宋体" w:hAnsi="宋体"/>
          <w:b/>
          <w:color w:val="auto"/>
          <w:sz w:val="28"/>
          <w:szCs w:val="28"/>
        </w:rPr>
      </w:pPr>
      <w:r>
        <w:rPr>
          <w:rFonts w:hint="eastAsia" w:ascii="宋体" w:hAnsi="宋体"/>
          <w:b/>
          <w:color w:val="auto"/>
          <w:sz w:val="28"/>
          <w:szCs w:val="28"/>
        </w:rPr>
        <w:t>附件</w:t>
      </w:r>
      <w:r>
        <w:rPr>
          <w:rFonts w:ascii="宋体" w:hAnsi="宋体"/>
          <w:b/>
          <w:color w:val="auto"/>
          <w:sz w:val="28"/>
          <w:szCs w:val="28"/>
        </w:rPr>
        <w:t>2</w:t>
      </w:r>
      <w:r>
        <w:rPr>
          <w:rFonts w:hint="eastAsia" w:ascii="宋体" w:hAnsi="宋体"/>
          <w:b/>
          <w:color w:val="auto"/>
          <w:sz w:val="28"/>
          <w:szCs w:val="28"/>
        </w:rPr>
        <w:t>：</w:t>
      </w:r>
    </w:p>
    <w:p w14:paraId="17560EAB">
      <w:pPr>
        <w:widowControl/>
        <w:ind w:firstLine="480" w:firstLineChars="200"/>
        <w:jc w:val="center"/>
        <w:rPr>
          <w:rFonts w:ascii="方正仿宋_GBK" w:hAnsi="宋体" w:eastAsia="方正仿宋_GBK"/>
          <w:color w:val="auto"/>
          <w:sz w:val="24"/>
        </w:rPr>
      </w:pPr>
      <w:r>
        <w:rPr>
          <w:rFonts w:hint="eastAsia" w:ascii="方正仿宋_GBK" w:hAnsi="宋体" w:eastAsia="方正仿宋_GBK"/>
          <w:color w:val="auto"/>
          <w:sz w:val="24"/>
        </w:rPr>
        <w:t>法定代表人身份证明书</w:t>
      </w:r>
    </w:p>
    <w:p w14:paraId="78E11D7B">
      <w:pPr>
        <w:tabs>
          <w:tab w:val="left" w:pos="6300"/>
        </w:tabs>
        <w:snapToGrid w:val="0"/>
        <w:spacing w:line="500" w:lineRule="exact"/>
        <w:ind w:firstLine="570"/>
        <w:rPr>
          <w:rFonts w:ascii="方正仿宋_GBK" w:hAnsi="宋体" w:eastAsia="方正仿宋_GBK"/>
          <w:color w:val="auto"/>
          <w:sz w:val="24"/>
        </w:rPr>
      </w:pPr>
    </w:p>
    <w:p w14:paraId="65A019E7">
      <w:pPr>
        <w:tabs>
          <w:tab w:val="left" w:pos="6300"/>
        </w:tabs>
        <w:snapToGrid w:val="0"/>
        <w:spacing w:line="500" w:lineRule="exact"/>
        <w:ind w:firstLine="570"/>
        <w:rPr>
          <w:rFonts w:hint="eastAsia" w:ascii="方正仿宋_GBK" w:hAnsi="宋体" w:eastAsia="方正仿宋_GBK"/>
          <w:color w:val="auto"/>
          <w:sz w:val="24"/>
          <w:u w:val="single"/>
          <w:lang w:eastAsia="zh-CN"/>
        </w:rPr>
      </w:pPr>
      <w:r>
        <w:rPr>
          <w:rFonts w:hint="eastAsia" w:ascii="方正仿宋_GBK" w:hAnsi="宋体" w:eastAsia="方正仿宋_GBK"/>
          <w:color w:val="auto"/>
          <w:sz w:val="24"/>
        </w:rPr>
        <w:t>项目名称：</w:t>
      </w:r>
    </w:p>
    <w:p w14:paraId="0970492B">
      <w:pPr>
        <w:tabs>
          <w:tab w:val="left" w:pos="6300"/>
        </w:tabs>
        <w:snapToGrid w:val="0"/>
        <w:spacing w:line="500" w:lineRule="exact"/>
        <w:ind w:firstLine="570"/>
        <w:rPr>
          <w:rFonts w:ascii="方正仿宋_GBK" w:hAnsi="宋体" w:eastAsia="方正仿宋_GBK"/>
          <w:color w:val="auto"/>
          <w:sz w:val="24"/>
          <w:u w:val="single"/>
        </w:rPr>
      </w:pPr>
    </w:p>
    <w:p w14:paraId="7297350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致：（招标</w:t>
      </w:r>
      <w:r>
        <w:rPr>
          <w:rFonts w:hint="eastAsia" w:ascii="方正仿宋_GBK" w:hAnsi="宋体" w:eastAsia="方正仿宋_GBK"/>
          <w:color w:val="auto"/>
          <w:sz w:val="24"/>
          <w:lang w:val="en-US" w:eastAsia="zh-CN"/>
        </w:rPr>
        <w:t>人</w:t>
      </w:r>
      <w:r>
        <w:rPr>
          <w:rFonts w:hint="eastAsia" w:ascii="方正仿宋_GBK" w:hAnsi="宋体" w:eastAsia="方正仿宋_GBK"/>
          <w:color w:val="auto"/>
          <w:sz w:val="24"/>
        </w:rPr>
        <w:t>名称）：</w:t>
      </w:r>
    </w:p>
    <w:p w14:paraId="5C33906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（法定代表人姓名）在（投标人名称）任（职务名称）职务，是（投标人名称）的法定代表人。</w:t>
      </w:r>
    </w:p>
    <w:p w14:paraId="60BCC4CA">
      <w:pPr>
        <w:tabs>
          <w:tab w:val="left" w:pos="6300"/>
        </w:tabs>
        <w:snapToGrid w:val="0"/>
        <w:spacing w:line="500" w:lineRule="exact"/>
        <w:ind w:firstLine="570"/>
        <w:rPr>
          <w:rFonts w:ascii="方正仿宋_GBK" w:hAnsi="宋体" w:eastAsia="方正仿宋_GBK"/>
          <w:color w:val="auto"/>
          <w:sz w:val="24"/>
        </w:rPr>
      </w:pPr>
    </w:p>
    <w:p w14:paraId="6FB850F2">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0F1D115E">
      <w:pPr>
        <w:tabs>
          <w:tab w:val="left" w:pos="6300"/>
        </w:tabs>
        <w:snapToGrid w:val="0"/>
        <w:spacing w:line="500" w:lineRule="exact"/>
        <w:ind w:firstLine="570"/>
        <w:rPr>
          <w:rFonts w:ascii="方正仿宋_GBK" w:hAnsi="宋体" w:eastAsia="方正仿宋_GBK"/>
          <w:color w:val="auto"/>
          <w:sz w:val="24"/>
        </w:rPr>
      </w:pPr>
    </w:p>
    <w:p w14:paraId="5F012A0A">
      <w:pPr>
        <w:tabs>
          <w:tab w:val="left" w:pos="6300"/>
        </w:tabs>
        <w:snapToGrid w:val="0"/>
        <w:spacing w:line="500" w:lineRule="exact"/>
        <w:ind w:firstLine="570"/>
        <w:rPr>
          <w:rFonts w:ascii="方正仿宋_GBK" w:hAnsi="宋体" w:eastAsia="方正仿宋_GBK"/>
          <w:color w:val="auto"/>
          <w:sz w:val="24"/>
        </w:rPr>
      </w:pPr>
    </w:p>
    <w:p w14:paraId="643A218A">
      <w:pPr>
        <w:tabs>
          <w:tab w:val="left" w:pos="6300"/>
        </w:tabs>
        <w:snapToGrid w:val="0"/>
        <w:spacing w:line="500" w:lineRule="exact"/>
        <w:ind w:firstLine="570"/>
        <w:rPr>
          <w:rFonts w:ascii="方正仿宋_GBK" w:hAnsi="宋体" w:eastAsia="方正仿宋_GBK"/>
          <w:color w:val="auto"/>
          <w:sz w:val="24"/>
        </w:rPr>
      </w:pPr>
    </w:p>
    <w:p w14:paraId="6CFC378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（投标人公章）</w:t>
      </w:r>
    </w:p>
    <w:p w14:paraId="09416457">
      <w:pPr>
        <w:tabs>
          <w:tab w:val="left" w:pos="6300"/>
        </w:tabs>
        <w:snapToGrid w:val="0"/>
        <w:spacing w:line="500" w:lineRule="exact"/>
        <w:ind w:firstLine="570"/>
        <w:rPr>
          <w:rFonts w:ascii="方正仿宋_GBK" w:hAnsi="宋体" w:eastAsia="方正仿宋_GBK"/>
          <w:color w:val="auto"/>
          <w:sz w:val="24"/>
        </w:rPr>
      </w:pPr>
    </w:p>
    <w:p w14:paraId="6BA63C5F">
      <w:pPr>
        <w:tabs>
          <w:tab w:val="left" w:pos="6300"/>
        </w:tabs>
        <w:snapToGrid w:val="0"/>
        <w:spacing w:line="500" w:lineRule="exact"/>
        <w:ind w:firstLine="1130" w:firstLineChars="471"/>
        <w:rPr>
          <w:rFonts w:ascii="方正仿宋_GBK" w:hAnsi="宋体" w:eastAsia="方正仿宋_GBK"/>
          <w:color w:val="auto"/>
          <w:sz w:val="24"/>
        </w:rPr>
      </w:pPr>
      <w:r>
        <w:rPr>
          <w:rFonts w:hint="eastAsia" w:ascii="方正仿宋_GBK" w:hAnsi="宋体" w:eastAsia="方正仿宋_GBK"/>
          <w:color w:val="auto"/>
          <w:sz w:val="24"/>
        </w:rPr>
        <w:t>年</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月</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日</w:t>
      </w:r>
    </w:p>
    <w:p w14:paraId="62B50D9A">
      <w:pPr>
        <w:tabs>
          <w:tab w:val="left" w:pos="6300"/>
        </w:tabs>
        <w:snapToGrid w:val="0"/>
        <w:spacing w:line="500" w:lineRule="exact"/>
        <w:ind w:firstLine="570"/>
        <w:rPr>
          <w:rFonts w:ascii="方正仿宋_GBK" w:hAnsi="宋体" w:eastAsia="方正仿宋_GBK"/>
          <w:color w:val="auto"/>
          <w:sz w:val="24"/>
        </w:rPr>
      </w:pPr>
    </w:p>
    <w:p w14:paraId="0A8A7D9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2E889AF4">
      <w:pPr>
        <w:tabs>
          <w:tab w:val="left" w:pos="6300"/>
        </w:tabs>
        <w:snapToGrid w:val="0"/>
        <w:spacing w:line="500" w:lineRule="exact"/>
        <w:ind w:firstLine="570"/>
        <w:rPr>
          <w:rFonts w:ascii="方正仿宋_GBK" w:hAnsi="宋体" w:eastAsia="方正仿宋_GBK"/>
          <w:color w:val="auto"/>
          <w:sz w:val="24"/>
        </w:rPr>
      </w:pPr>
    </w:p>
    <w:p w14:paraId="7BFED667">
      <w:pPr>
        <w:tabs>
          <w:tab w:val="left" w:pos="6300"/>
        </w:tabs>
        <w:snapToGrid w:val="0"/>
        <w:spacing w:line="500" w:lineRule="exact"/>
        <w:ind w:firstLine="570"/>
        <w:rPr>
          <w:rFonts w:ascii="方正仿宋_GBK" w:hAnsi="宋体" w:eastAsia="方正仿宋_GBK"/>
          <w:color w:val="auto"/>
          <w:sz w:val="24"/>
        </w:rPr>
      </w:pPr>
    </w:p>
    <w:p w14:paraId="5E7F1BAD">
      <w:pPr>
        <w:tabs>
          <w:tab w:val="left" w:pos="6300"/>
        </w:tabs>
        <w:snapToGrid w:val="0"/>
        <w:spacing w:line="500" w:lineRule="exact"/>
        <w:ind w:firstLine="570"/>
        <w:rPr>
          <w:rFonts w:ascii="方正仿宋_GBK" w:hAnsi="宋体" w:eastAsia="方正仿宋_GBK"/>
          <w:color w:val="auto"/>
          <w:sz w:val="24"/>
        </w:rPr>
      </w:pPr>
    </w:p>
    <w:p w14:paraId="73196636">
      <w:pPr>
        <w:tabs>
          <w:tab w:val="left" w:pos="6300"/>
        </w:tabs>
        <w:snapToGrid w:val="0"/>
        <w:spacing w:line="500" w:lineRule="exact"/>
        <w:ind w:firstLine="570"/>
        <w:rPr>
          <w:rFonts w:ascii="方正仿宋_GBK" w:hAnsi="宋体" w:eastAsia="方正仿宋_GBK"/>
          <w:color w:val="auto"/>
          <w:sz w:val="24"/>
        </w:rPr>
      </w:pPr>
    </w:p>
    <w:p w14:paraId="153317BD">
      <w:pPr>
        <w:tabs>
          <w:tab w:val="left" w:pos="6300"/>
        </w:tabs>
        <w:snapToGrid w:val="0"/>
        <w:spacing w:line="500" w:lineRule="exact"/>
        <w:rPr>
          <w:rFonts w:ascii="方正仿宋_GBK" w:hAnsi="宋体" w:eastAsia="方正仿宋_GBK"/>
          <w:color w:val="auto"/>
          <w:sz w:val="24"/>
        </w:rPr>
      </w:pPr>
    </w:p>
    <w:p w14:paraId="7C52329F">
      <w:pPr>
        <w:tabs>
          <w:tab w:val="left" w:pos="6300"/>
        </w:tabs>
        <w:snapToGrid w:val="0"/>
        <w:spacing w:line="500" w:lineRule="exact"/>
        <w:ind w:firstLine="570"/>
        <w:jc w:val="center"/>
        <w:rPr>
          <w:rFonts w:ascii="方正仿宋_GBK" w:hAnsi="宋体" w:eastAsia="方正仿宋_GBK"/>
          <w:color w:val="auto"/>
          <w:sz w:val="24"/>
        </w:rPr>
      </w:pPr>
      <w:r>
        <w:rPr>
          <w:color w:val="auto"/>
          <w:sz w:val="24"/>
        </w:rPr>
        <w:br w:type="column"/>
      </w:r>
      <w:r>
        <w:rPr>
          <w:rFonts w:hint="eastAsia" w:ascii="方正仿宋_GBK" w:hAnsi="宋体" w:eastAsia="方正仿宋_GBK"/>
          <w:color w:val="auto"/>
          <w:sz w:val="24"/>
        </w:rPr>
        <w:t>法定代表人授权委托书</w:t>
      </w:r>
    </w:p>
    <w:p w14:paraId="1CA943B4">
      <w:pPr>
        <w:tabs>
          <w:tab w:val="left" w:pos="6300"/>
        </w:tabs>
        <w:snapToGrid w:val="0"/>
        <w:spacing w:line="500" w:lineRule="exact"/>
        <w:ind w:firstLine="570"/>
        <w:rPr>
          <w:rFonts w:hint="eastAsia" w:ascii="方正仿宋_GBK" w:hAnsi="宋体" w:eastAsia="方正仿宋_GBK"/>
          <w:color w:val="auto"/>
          <w:sz w:val="24"/>
          <w:lang w:eastAsia="zh-CN"/>
        </w:rPr>
      </w:pPr>
    </w:p>
    <w:p w14:paraId="738AC371">
      <w:pPr>
        <w:tabs>
          <w:tab w:val="left" w:pos="6300"/>
        </w:tabs>
        <w:snapToGrid w:val="0"/>
        <w:spacing w:line="500" w:lineRule="exact"/>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rPr>
        <w:t>项目名称：</w:t>
      </w:r>
    </w:p>
    <w:p w14:paraId="3BFD5A62">
      <w:pPr>
        <w:tabs>
          <w:tab w:val="left" w:pos="6300"/>
        </w:tabs>
        <w:snapToGrid w:val="0"/>
        <w:spacing w:line="500" w:lineRule="exact"/>
        <w:ind w:firstLine="570"/>
        <w:rPr>
          <w:rFonts w:ascii="方正仿宋_GBK" w:hAnsi="宋体" w:eastAsia="方正仿宋_GBK"/>
          <w:color w:val="auto"/>
          <w:sz w:val="24"/>
        </w:rPr>
      </w:pPr>
    </w:p>
    <w:p w14:paraId="5A0AEDE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致：（招标人名称）：</w:t>
      </w:r>
    </w:p>
    <w:p w14:paraId="31F2A70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（投标人法定代表人名称）是（投标人名称）的法定代表人，特授权（被授权人姓名及身份证代码）代表我单位全权办理上述项目的</w:t>
      </w:r>
      <w:r>
        <w:rPr>
          <w:rFonts w:hint="eastAsia" w:ascii="方正仿宋_GBK" w:hAnsi="宋体" w:eastAsia="方正仿宋_GBK"/>
          <w:color w:val="auto"/>
          <w:sz w:val="24"/>
          <w:lang w:val="en-US" w:eastAsia="zh-CN"/>
        </w:rPr>
        <w:t>谈判</w:t>
      </w:r>
      <w:r>
        <w:rPr>
          <w:rFonts w:hint="eastAsia" w:ascii="方正仿宋_GBK" w:hAnsi="宋体" w:eastAsia="方正仿宋_GBK"/>
          <w:color w:val="auto"/>
          <w:sz w:val="24"/>
        </w:rPr>
        <w:t>、签约等具体工作，并签署全部有关文件、协议及合同。</w:t>
      </w:r>
    </w:p>
    <w:p w14:paraId="2C1634F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72F9384B">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1E23C890">
      <w:pPr>
        <w:tabs>
          <w:tab w:val="left" w:pos="6300"/>
        </w:tabs>
        <w:snapToGrid w:val="0"/>
        <w:spacing w:line="500" w:lineRule="exact"/>
        <w:ind w:firstLine="570"/>
        <w:rPr>
          <w:rFonts w:ascii="方正仿宋_GBK" w:hAnsi="宋体" w:eastAsia="方正仿宋_GBK"/>
          <w:color w:val="auto"/>
          <w:sz w:val="24"/>
        </w:rPr>
      </w:pPr>
    </w:p>
    <w:p w14:paraId="3A45CC62">
      <w:pPr>
        <w:tabs>
          <w:tab w:val="left" w:pos="6300"/>
        </w:tabs>
        <w:snapToGrid w:val="0"/>
        <w:spacing w:line="500" w:lineRule="exact"/>
        <w:ind w:firstLine="570"/>
        <w:rPr>
          <w:rFonts w:ascii="方正仿宋_GBK" w:hAnsi="宋体" w:eastAsia="方正仿宋_GBK"/>
          <w:color w:val="auto"/>
          <w:sz w:val="24"/>
        </w:rPr>
      </w:pPr>
    </w:p>
    <w:p w14:paraId="6261666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投标人法定代表人：</w:t>
      </w:r>
    </w:p>
    <w:p w14:paraId="2A3E916D">
      <w:pPr>
        <w:ind w:firstLine="240" w:firstLineChars="100"/>
        <w:rPr>
          <w:rFonts w:ascii="方正仿宋_GBK" w:hAnsi="宋体" w:eastAsia="方正仿宋_GBK"/>
          <w:color w:val="auto"/>
          <w:sz w:val="24"/>
        </w:rPr>
      </w:pPr>
      <w:r>
        <w:rPr>
          <w:rFonts w:hint="eastAsia" w:ascii="方正仿宋_GBK" w:hAnsi="宋体" w:eastAsia="方正仿宋_GBK"/>
          <w:color w:val="auto"/>
          <w:sz w:val="24"/>
        </w:rPr>
        <w:t>（签字或盖章）</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（签字或盖章）</w:t>
      </w:r>
    </w:p>
    <w:p w14:paraId="402D8576">
      <w:pPr>
        <w:rPr>
          <w:rFonts w:ascii="方正仿宋_GBK" w:hAnsi="宋体" w:eastAsia="方正仿宋_GBK"/>
          <w:color w:val="auto"/>
          <w:sz w:val="24"/>
        </w:rPr>
      </w:pPr>
      <w:r>
        <w:rPr>
          <w:rFonts w:hint="eastAsia" w:ascii="方正仿宋_GBK" w:hAnsi="宋体" w:eastAsia="方正仿宋_GBK"/>
          <w:color w:val="auto"/>
          <w:sz w:val="24"/>
        </w:rPr>
        <w:t>附被</w:t>
      </w:r>
      <w:r>
        <w:rPr>
          <w:rFonts w:ascii="方正仿宋_GBK" w:hAnsi="宋体" w:eastAsia="方正仿宋_GBK"/>
          <w:color w:val="auto"/>
          <w:sz w:val="24"/>
        </w:rPr>
        <w:t>授权人身份证复印件</w:t>
      </w:r>
    </w:p>
    <w:p w14:paraId="7A2833DA">
      <w:pPr>
        <w:rPr>
          <w:rFonts w:ascii="方正仿宋_GBK" w:hAnsi="宋体" w:eastAsia="方正仿宋_GBK"/>
          <w:color w:val="auto"/>
          <w:sz w:val="24"/>
        </w:rPr>
      </w:pPr>
    </w:p>
    <w:p w14:paraId="390B17C6">
      <w:pPr>
        <w:rPr>
          <w:rFonts w:ascii="方正仿宋_GBK" w:hAnsi="宋体" w:eastAsia="方正仿宋_GBK"/>
          <w:color w:val="auto"/>
          <w:sz w:val="24"/>
        </w:rPr>
      </w:pPr>
    </w:p>
    <w:p w14:paraId="2DD3F680">
      <w:pPr>
        <w:rPr>
          <w:rFonts w:ascii="方正仿宋_GBK" w:hAnsi="宋体" w:eastAsia="方正仿宋_GBK"/>
          <w:color w:val="auto"/>
          <w:sz w:val="24"/>
        </w:rPr>
      </w:pPr>
    </w:p>
    <w:p w14:paraId="6C4D1AC5">
      <w:pPr>
        <w:rPr>
          <w:rFonts w:ascii="方正仿宋_GBK" w:hAnsi="宋体" w:eastAsia="方正仿宋_GBK"/>
          <w:color w:val="auto"/>
          <w:sz w:val="24"/>
        </w:rPr>
      </w:pPr>
    </w:p>
    <w:p w14:paraId="13942D95">
      <w:pPr>
        <w:rPr>
          <w:rFonts w:ascii="方正仿宋_GBK" w:hAnsi="宋体" w:eastAsia="方正仿宋_GBK"/>
          <w:color w:val="auto"/>
          <w:sz w:val="24"/>
        </w:rPr>
      </w:pPr>
    </w:p>
    <w:p w14:paraId="1CC37891">
      <w:pPr>
        <w:rPr>
          <w:rFonts w:ascii="方正仿宋_GBK" w:hAnsi="宋体" w:eastAsia="方正仿宋_GBK"/>
          <w:color w:val="auto"/>
          <w:sz w:val="24"/>
        </w:rPr>
      </w:pPr>
    </w:p>
    <w:p w14:paraId="625D1A5C">
      <w:pPr>
        <w:rPr>
          <w:rFonts w:ascii="方正仿宋_GBK" w:hAnsi="宋体" w:eastAsia="方正仿宋_GBK"/>
          <w:color w:val="auto"/>
          <w:sz w:val="24"/>
        </w:rPr>
      </w:pPr>
    </w:p>
    <w:p w14:paraId="33CC8252">
      <w:pPr>
        <w:rPr>
          <w:rFonts w:ascii="方正仿宋_GBK" w:hAnsi="宋体" w:eastAsia="方正仿宋_GBK"/>
          <w:color w:val="auto"/>
          <w:sz w:val="24"/>
        </w:rPr>
      </w:pPr>
    </w:p>
    <w:p w14:paraId="0A667AB8">
      <w:pPr>
        <w:rPr>
          <w:rFonts w:ascii="方正仿宋_GBK" w:hAnsi="宋体" w:eastAsia="方正仿宋_GBK"/>
          <w:color w:val="auto"/>
          <w:sz w:val="24"/>
        </w:rPr>
      </w:pPr>
    </w:p>
    <w:p w14:paraId="678C9335">
      <w:pPr>
        <w:rPr>
          <w:rFonts w:hint="eastAsia" w:ascii="宋体" w:hAnsi="宋体"/>
          <w:b/>
          <w:color w:val="auto"/>
          <w:sz w:val="28"/>
          <w:szCs w:val="28"/>
          <w:lang w:val="en-US" w:eastAsia="zh-CN"/>
        </w:rPr>
      </w:pPr>
      <w:r>
        <w:rPr>
          <w:rFonts w:hint="eastAsia" w:ascii="宋体" w:hAnsi="宋体"/>
          <w:b/>
          <w:color w:val="auto"/>
          <w:sz w:val="28"/>
          <w:szCs w:val="28"/>
          <w:lang w:val="en-US" w:eastAsia="zh-CN"/>
        </w:rPr>
        <w:t>附件3：</w:t>
      </w:r>
    </w:p>
    <w:p w14:paraId="3E3EFF15">
      <w:pPr>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承诺书</w:t>
      </w:r>
    </w:p>
    <w:p w14:paraId="0C7BD4E3">
      <w:pPr>
        <w:tabs>
          <w:tab w:val="left" w:pos="2640"/>
        </w:tabs>
        <w:autoSpaceDE w:val="0"/>
        <w:autoSpaceDN w:val="0"/>
        <w:adjustRightInd w:val="0"/>
        <w:spacing w:line="220" w:lineRule="exact"/>
        <w:ind w:left="120" w:right="-20"/>
        <w:rPr>
          <w:rFonts w:ascii="宋体" w:hAnsi="宋体"/>
          <w:snapToGrid w:val="0"/>
          <w:color w:val="auto"/>
          <w:szCs w:val="21"/>
          <w:u w:val="single"/>
        </w:rPr>
      </w:pPr>
    </w:p>
    <w:p w14:paraId="0CBB1518">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hint="eastAsia" w:ascii="宋体" w:hAnsi="宋体" w:cs="MingLiU"/>
          <w:snapToGrid w:val="0"/>
          <w:color w:val="auto"/>
          <w:szCs w:val="21"/>
        </w:rPr>
      </w:pPr>
    </w:p>
    <w:p w14:paraId="2E880962">
      <w:pPr>
        <w:tabs>
          <w:tab w:val="left" w:pos="2655"/>
          <w:tab w:val="left" w:pos="2760"/>
          <w:tab w:val="left" w:pos="4500"/>
          <w:tab w:val="left" w:pos="5715"/>
          <w:tab w:val="left" w:pos="6945"/>
          <w:tab w:val="left" w:pos="8505"/>
        </w:tabs>
        <w:autoSpaceDE w:val="0"/>
        <w:autoSpaceDN w:val="0"/>
        <w:adjustRightInd w:val="0"/>
        <w:spacing w:line="480" w:lineRule="auto"/>
        <w:ind w:right="94"/>
        <w:jc w:val="left"/>
        <w:rPr>
          <w:rFonts w:hint="eastAsia" w:ascii="宋体" w:hAnsi="宋体" w:cs="MingLiU"/>
          <w:snapToGrid w:val="0"/>
          <w:color w:val="auto"/>
          <w:szCs w:val="21"/>
        </w:rPr>
      </w:pPr>
      <w:r>
        <w:rPr>
          <w:rFonts w:hint="eastAsia" w:ascii="宋体" w:hAnsi="宋体" w:cs="MingLiU"/>
          <w:snapToGrid w:val="0"/>
          <w:color w:val="auto"/>
          <w:szCs w:val="21"/>
          <w:u w:val="single"/>
        </w:rPr>
        <w:tab/>
      </w:r>
      <w:r>
        <w:rPr>
          <w:rFonts w:hint="eastAsia" w:ascii="宋体" w:hAnsi="宋体" w:cs="MingLiU"/>
          <w:snapToGrid w:val="0"/>
          <w:color w:val="auto"/>
          <w:szCs w:val="21"/>
        </w:rPr>
        <w:t>（招标人名称）：</w:t>
      </w:r>
    </w:p>
    <w:p w14:paraId="5E429080">
      <w:pPr>
        <w:spacing w:line="480" w:lineRule="auto"/>
        <w:jc w:val="left"/>
        <w:rPr>
          <w:rFonts w:hint="default" w:ascii="宋体" w:hAnsi="宋体" w:cs="MingLiU"/>
          <w:snapToGrid w:val="0"/>
          <w:color w:val="auto"/>
          <w:szCs w:val="21"/>
          <w:lang w:val="en-US" w:eastAsia="zh-CN"/>
        </w:rPr>
      </w:pPr>
      <w:r>
        <w:rPr>
          <w:rFonts w:hint="eastAsia" w:ascii="宋体" w:hAnsi="宋体" w:cs="MingLiU"/>
          <w:snapToGrid w:val="0"/>
          <w:color w:val="auto"/>
          <w:szCs w:val="21"/>
          <w:lang w:val="en-US" w:eastAsia="zh-CN"/>
        </w:rPr>
        <w:t xml:space="preserve">     我单位</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 xml:space="preserve">（投标人全称）在充分理解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（项目名称）竞争性谈判文件要求的基础上，郑重作出如下承诺，并愿意承担相应的法律责任：</w:t>
      </w:r>
    </w:p>
    <w:p w14:paraId="3ACFA461">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一</w:t>
      </w:r>
      <w:r>
        <w:rPr>
          <w:rFonts w:hint="eastAsia" w:ascii="宋体" w:hAnsi="宋体" w:cs="MingLiU"/>
          <w:snapToGrid w:val="0"/>
          <w:color w:val="auto"/>
          <w:szCs w:val="21"/>
        </w:rPr>
        <w:t>）具有良好的商业信誉和健全的财务会计制度；</w:t>
      </w:r>
    </w:p>
    <w:p w14:paraId="5BDE79B0">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二</w:t>
      </w:r>
      <w:r>
        <w:rPr>
          <w:rFonts w:hint="eastAsia" w:ascii="宋体" w:hAnsi="宋体" w:cs="MingLiU"/>
          <w:snapToGrid w:val="0"/>
          <w:color w:val="auto"/>
          <w:szCs w:val="21"/>
        </w:rPr>
        <w:t>）具有履行合同所必需的设备和专业技术能力；</w:t>
      </w:r>
    </w:p>
    <w:p w14:paraId="3C34E2EE">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三</w:t>
      </w:r>
      <w:r>
        <w:rPr>
          <w:rFonts w:hint="eastAsia" w:ascii="宋体" w:hAnsi="宋体" w:cs="MingLiU"/>
          <w:snapToGrid w:val="0"/>
          <w:color w:val="auto"/>
          <w:szCs w:val="21"/>
        </w:rPr>
        <w:t>）有依法缴纳税收和社会保障金的良好记录；</w:t>
      </w:r>
    </w:p>
    <w:p w14:paraId="0E9AB685">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四</w:t>
      </w:r>
      <w:r>
        <w:rPr>
          <w:rFonts w:hint="eastAsia" w:ascii="宋体" w:hAnsi="宋体" w:cs="MingLiU"/>
          <w:snapToGrid w:val="0"/>
          <w:color w:val="auto"/>
          <w:szCs w:val="21"/>
        </w:rPr>
        <w:t>）参加采购活动前三年内，在经营活动中没有重大违法记录；</w:t>
      </w:r>
    </w:p>
    <w:p w14:paraId="770A0DC4">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五</w:t>
      </w:r>
      <w:r>
        <w:rPr>
          <w:rFonts w:hint="eastAsia" w:ascii="宋体" w:hAnsi="宋体" w:cs="MingLiU"/>
          <w:snapToGrid w:val="0"/>
          <w:color w:val="auto"/>
          <w:szCs w:val="21"/>
        </w:rPr>
        <w:t>）本次</w:t>
      </w:r>
      <w:r>
        <w:rPr>
          <w:rFonts w:hint="eastAsia" w:ascii="宋体" w:hAnsi="宋体" w:cs="MingLiU"/>
          <w:snapToGrid w:val="0"/>
          <w:color w:val="auto"/>
          <w:szCs w:val="21"/>
          <w:lang w:val="en-US" w:eastAsia="zh-CN"/>
        </w:rPr>
        <w:t>投</w:t>
      </w:r>
      <w:r>
        <w:rPr>
          <w:rFonts w:hint="eastAsia" w:ascii="宋体" w:hAnsi="宋体" w:cs="MingLiU"/>
          <w:snapToGrid w:val="0"/>
          <w:color w:val="auto"/>
          <w:szCs w:val="21"/>
        </w:rPr>
        <w:t>标不</w:t>
      </w:r>
      <w:r>
        <w:rPr>
          <w:rFonts w:hint="eastAsia" w:ascii="宋体" w:hAnsi="宋体" w:cs="MingLiU"/>
          <w:snapToGrid w:val="0"/>
          <w:color w:val="auto"/>
          <w:szCs w:val="21"/>
          <w:lang w:val="en-US" w:eastAsia="zh-CN"/>
        </w:rPr>
        <w:t>采用</w:t>
      </w:r>
      <w:r>
        <w:rPr>
          <w:rFonts w:hint="eastAsia" w:ascii="宋体" w:hAnsi="宋体" w:cs="MingLiU"/>
          <w:snapToGrid w:val="0"/>
          <w:color w:val="auto"/>
          <w:szCs w:val="21"/>
        </w:rPr>
        <w:t>联合体投标，中选后不分包、转包。</w:t>
      </w:r>
    </w:p>
    <w:p w14:paraId="2FE08E72">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p>
    <w:p w14:paraId="4C67BA9E">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69614FB2">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69CA1D9A">
      <w:pPr>
        <w:tabs>
          <w:tab w:val="left" w:pos="7140"/>
          <w:tab w:val="left" w:pos="7560"/>
          <w:tab w:val="left" w:pos="8300"/>
        </w:tabs>
        <w:autoSpaceDE w:val="0"/>
        <w:autoSpaceDN w:val="0"/>
        <w:adjustRightInd w:val="0"/>
        <w:ind w:right="210" w:firstLine="4515" w:firstLineChars="2150"/>
        <w:rPr>
          <w:rFonts w:hint="eastAsia" w:ascii="宋体" w:hAnsi="宋体" w:cs="MingLiU"/>
          <w:snapToGrid w:val="0"/>
          <w:color w:val="auto"/>
          <w:szCs w:val="21"/>
        </w:rPr>
      </w:pPr>
    </w:p>
    <w:p w14:paraId="56A0B60C">
      <w:pPr>
        <w:tabs>
          <w:tab w:val="left" w:pos="7140"/>
          <w:tab w:val="left" w:pos="7560"/>
          <w:tab w:val="left" w:pos="8300"/>
        </w:tabs>
        <w:autoSpaceDE w:val="0"/>
        <w:autoSpaceDN w:val="0"/>
        <w:adjustRightInd w:val="0"/>
        <w:ind w:right="210" w:firstLine="4515" w:firstLineChars="21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061CE391">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036078CF">
      <w:pPr>
        <w:autoSpaceDE w:val="0"/>
        <w:autoSpaceDN w:val="0"/>
        <w:adjustRightInd w:val="0"/>
        <w:spacing w:before="14" w:line="240" w:lineRule="exact"/>
        <w:rPr>
          <w:rFonts w:ascii="宋体" w:hAnsi="宋体" w:cs="MingLiU"/>
          <w:snapToGrid w:val="0"/>
          <w:color w:val="auto"/>
          <w:sz w:val="24"/>
        </w:rPr>
      </w:pPr>
    </w:p>
    <w:p w14:paraId="2C4A0820">
      <w:pPr>
        <w:tabs>
          <w:tab w:val="left" w:pos="6000"/>
          <w:tab w:val="left" w:pos="7040"/>
          <w:tab w:val="left" w:pos="8100"/>
        </w:tabs>
        <w:autoSpaceDE w:val="0"/>
        <w:autoSpaceDN w:val="0"/>
        <w:adjustRightInd w:val="0"/>
        <w:ind w:right="-20" w:firstLine="5974" w:firstLineChars="28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414081D5">
      <w:pPr>
        <w:rPr>
          <w:rFonts w:ascii="方正仿宋_GBK" w:hAnsi="宋体" w:eastAsia="方正仿宋_GBK"/>
          <w:color w:val="auto"/>
          <w:sz w:val="24"/>
        </w:rPr>
      </w:pPr>
    </w:p>
    <w:p w14:paraId="2C08DA62">
      <w:pPr>
        <w:rPr>
          <w:rFonts w:ascii="方正仿宋_GBK" w:hAnsi="宋体" w:eastAsia="方正仿宋_GBK"/>
          <w:color w:val="auto"/>
          <w:sz w:val="24"/>
        </w:rPr>
      </w:pPr>
    </w:p>
    <w:p w14:paraId="444AA772">
      <w:pPr>
        <w:rPr>
          <w:rFonts w:ascii="方正仿宋_GBK" w:hAnsi="宋体" w:eastAsia="方正仿宋_GBK"/>
          <w:color w:val="auto"/>
          <w:sz w:val="24"/>
        </w:rPr>
      </w:pPr>
    </w:p>
    <w:p w14:paraId="222E2597">
      <w:pPr>
        <w:rPr>
          <w:rFonts w:ascii="方正仿宋_GBK" w:hAnsi="宋体" w:eastAsia="方正仿宋_GBK"/>
          <w:color w:val="auto"/>
          <w:sz w:val="24"/>
        </w:rPr>
      </w:pPr>
    </w:p>
    <w:p w14:paraId="1202CADE">
      <w:pPr>
        <w:rPr>
          <w:rFonts w:ascii="方正仿宋_GBK" w:hAnsi="宋体" w:eastAsia="方正仿宋_GBK"/>
          <w:color w:val="auto"/>
          <w:sz w:val="24"/>
        </w:rPr>
      </w:pPr>
    </w:p>
    <w:p w14:paraId="140A4340">
      <w:pPr>
        <w:rPr>
          <w:rFonts w:ascii="方正仿宋_GBK" w:hAnsi="宋体" w:eastAsia="方正仿宋_GBK"/>
          <w:color w:val="auto"/>
          <w:sz w:val="24"/>
        </w:rPr>
      </w:pPr>
    </w:p>
    <w:p w14:paraId="433C03C0">
      <w:pPr>
        <w:rPr>
          <w:rFonts w:ascii="方正仿宋_GBK" w:hAnsi="宋体" w:eastAsia="方正仿宋_GBK"/>
          <w:color w:val="auto"/>
          <w:sz w:val="24"/>
        </w:rPr>
      </w:pPr>
    </w:p>
    <w:p w14:paraId="40D4AE3B">
      <w:pPr>
        <w:rPr>
          <w:rFonts w:hint="default" w:ascii="宋体" w:hAnsi="宋体"/>
          <w:b/>
          <w:color w:val="auto"/>
          <w:sz w:val="28"/>
          <w:szCs w:val="28"/>
          <w:lang w:val="en-US" w:eastAsia="zh-CN"/>
        </w:rPr>
      </w:pPr>
      <w:r>
        <w:rPr>
          <w:rFonts w:hint="eastAsia" w:ascii="宋体" w:hAnsi="宋体"/>
          <w:b/>
          <w:color w:val="auto"/>
          <w:sz w:val="28"/>
          <w:szCs w:val="28"/>
          <w:lang w:val="en-US" w:eastAsia="zh-CN"/>
        </w:rPr>
        <w:t>附件4：</w:t>
      </w:r>
    </w:p>
    <w:p w14:paraId="073D8529">
      <w:pPr>
        <w:jc w:val="center"/>
        <w:rPr>
          <w:rFonts w:hint="default" w:ascii="方正仿宋_GBK" w:hAnsi="宋体" w:eastAsia="方正仿宋_GBK"/>
          <w:b/>
          <w:bCs/>
          <w:color w:val="auto"/>
          <w:sz w:val="24"/>
          <w:lang w:val="en-US"/>
        </w:rPr>
      </w:pPr>
      <w:r>
        <w:rPr>
          <w:rFonts w:hint="eastAsia" w:ascii="方正仿宋_GBK" w:hAnsi="宋体" w:eastAsia="方正仿宋_GBK"/>
          <w:b/>
          <w:bCs/>
          <w:color w:val="auto"/>
          <w:sz w:val="24"/>
          <w:lang w:val="en-US" w:eastAsia="zh-CN"/>
        </w:rPr>
        <w:t>公共安全智控综合应用开发支撑服务清单</w:t>
      </w:r>
    </w:p>
    <w:tbl>
      <w:tblPr>
        <w:tblStyle w:val="13"/>
        <w:tblW w:w="47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18"/>
        <w:gridCol w:w="4563"/>
        <w:gridCol w:w="651"/>
        <w:gridCol w:w="1169"/>
      </w:tblGrid>
      <w:tr w14:paraId="74F6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00" w:type="pct"/>
            <w:noWrap w:val="0"/>
            <w:vAlign w:val="center"/>
          </w:tcPr>
          <w:p w14:paraId="41DF496A">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685" w:type="pct"/>
            <w:noWrap w:val="0"/>
            <w:vAlign w:val="center"/>
          </w:tcPr>
          <w:p w14:paraId="720EC181">
            <w:pPr>
              <w:widowControl/>
              <w:spacing w:line="360" w:lineRule="auto"/>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服务分项</w:t>
            </w:r>
          </w:p>
        </w:tc>
        <w:tc>
          <w:tcPr>
            <w:tcW w:w="2798" w:type="pct"/>
            <w:noWrap w:val="0"/>
            <w:vAlign w:val="center"/>
          </w:tcPr>
          <w:p w14:paraId="6CE79737">
            <w:pPr>
              <w:widowControl/>
              <w:spacing w:line="360" w:lineRule="auto"/>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服务概述</w:t>
            </w:r>
          </w:p>
        </w:tc>
        <w:tc>
          <w:tcPr>
            <w:tcW w:w="399" w:type="pct"/>
            <w:noWrap w:val="0"/>
            <w:vAlign w:val="center"/>
          </w:tcPr>
          <w:p w14:paraId="71FB8933">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716" w:type="pct"/>
            <w:noWrap w:val="0"/>
            <w:vAlign w:val="center"/>
          </w:tcPr>
          <w:p w14:paraId="26B61413">
            <w:pPr>
              <w:widowControl/>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r>
      <w:tr w14:paraId="4815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00" w:type="pct"/>
            <w:noWrap/>
            <w:vAlign w:val="center"/>
          </w:tcPr>
          <w:p w14:paraId="22B722FD">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685" w:type="pct"/>
            <w:noWrap w:val="0"/>
            <w:vAlign w:val="center"/>
          </w:tcPr>
          <w:p w14:paraId="19526A04">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公共安全风险隐患感知辨识</w:t>
            </w:r>
          </w:p>
        </w:tc>
        <w:tc>
          <w:tcPr>
            <w:tcW w:w="2798" w:type="pct"/>
            <w:noWrap w:val="0"/>
            <w:vAlign w:val="center"/>
          </w:tcPr>
          <w:p w14:paraId="0B7A6564">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5" w:name="_Toc28911"/>
            <w:bookmarkStart w:id="6" w:name="OLE_LINK4"/>
            <w:r>
              <w:rPr>
                <w:rFonts w:hint="eastAsia" w:ascii="仿宋" w:hAnsi="仿宋" w:eastAsia="仿宋" w:cs="仿宋"/>
                <w:color w:val="000000"/>
                <w:sz w:val="21"/>
                <w:szCs w:val="21"/>
              </w:rPr>
              <w:t>1.1公共安全风险隐患数据全量纳管</w:t>
            </w:r>
            <w:bookmarkEnd w:id="5"/>
          </w:p>
          <w:bookmarkEnd w:id="6"/>
          <w:p w14:paraId="495E9107">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7" w:name="_Toc13708"/>
            <w:r>
              <w:rPr>
                <w:rFonts w:hint="eastAsia" w:ascii="仿宋" w:hAnsi="仿宋" w:eastAsia="仿宋" w:cs="仿宋"/>
                <w:color w:val="000000"/>
                <w:sz w:val="21"/>
                <w:szCs w:val="21"/>
              </w:rPr>
              <w:t>1.1.1基础信息管理</w:t>
            </w:r>
            <w:bookmarkEnd w:id="7"/>
          </w:p>
          <w:p w14:paraId="6036B161">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包括大客流风险基础信息管理、建筑火灾风险基础信息管理、城市电梯运行风险基础信息管理、重点车辆运输风险基础信息管理、老旧房屋坍塌风险基础信息管理的功能。</w:t>
            </w:r>
          </w:p>
          <w:p w14:paraId="68C72021">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1.1.1.1大客流风险基础信息管理</w:t>
            </w:r>
          </w:p>
          <w:p w14:paraId="230DB661">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渝中区人员密集场所基础信息（渝中区高人流密度重点景区9处，包括解放碑、洪崖洞、来福士、朝天门广场、李子坝轻轨站、鹅岭二厂、长江索道、十八梯和龙湖时代天街）、人员密集场所单位信息、大客流风险监测设备数据、救援物资储备库、救援队伍、社会组织减灾能力等信息，对信息进行综合管理。支持列表展示、查询、查询重置、批量导入、导出，增加、修改、删除操作。</w:t>
            </w:r>
          </w:p>
          <w:p w14:paraId="6A49D147">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8" w:name="_Toc8474"/>
            <w:r>
              <w:rPr>
                <w:rFonts w:hint="eastAsia" w:ascii="仿宋" w:hAnsi="仿宋" w:eastAsia="仿宋" w:cs="仿宋"/>
                <w:color w:val="000000"/>
                <w:sz w:val="21"/>
                <w:szCs w:val="21"/>
              </w:rPr>
              <w:t>1.1.1.2高层建筑火灾风险基础信息管理</w:t>
            </w:r>
            <w:bookmarkEnd w:id="8"/>
          </w:p>
          <w:p w14:paraId="2AA45988">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消防重点单位信息、火灾高危单位建筑信息、高层建筑火灾风险监测设备信息、消防救援站信息、消防救援队伍、消防救援装备、消防救援车辆基础信息，进行综合管理。支持列表展示、查询、查询重置、批量导入、导出，增加、修改、删除操作。</w:t>
            </w:r>
          </w:p>
          <w:p w14:paraId="6AD4B81E">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9" w:name="_Toc9540"/>
            <w:r>
              <w:rPr>
                <w:rFonts w:hint="eastAsia" w:ascii="仿宋" w:hAnsi="仿宋" w:eastAsia="仿宋" w:cs="仿宋"/>
                <w:color w:val="000000"/>
                <w:sz w:val="21"/>
                <w:szCs w:val="21"/>
              </w:rPr>
              <w:t>1.1.1.3城市电梯运行风险基础信息管理</w:t>
            </w:r>
            <w:bookmarkEnd w:id="9"/>
          </w:p>
          <w:p w14:paraId="2AE9C10A">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城市电梯运行使用单位信息、在用电梯信息、城市电梯运行风险监测设备信息、城市电梯运行风险发电机、应急灯等应急资源数据，进行综合管理。支持列表展示、查询、查询重置、批量导入、导出，增加、修改、删除操作。</w:t>
            </w:r>
          </w:p>
          <w:p w14:paraId="339A2013">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10" w:name="_Toc21077"/>
            <w:r>
              <w:rPr>
                <w:rFonts w:hint="eastAsia" w:ascii="仿宋" w:hAnsi="仿宋" w:eastAsia="仿宋" w:cs="仿宋"/>
                <w:color w:val="000000"/>
                <w:sz w:val="21"/>
                <w:szCs w:val="21"/>
              </w:rPr>
              <w:t>1.1.1.4重点车辆运输风险基础信息管理</w:t>
            </w:r>
            <w:bookmarkEnd w:id="10"/>
          </w:p>
          <w:p w14:paraId="1CC9F83B">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两客一危”企业信息、车辆信息、车辆运输风险监测设备信息、车辆运输风险应急资源信息、轨道线路信息、轨道站点信息，进行综合管理。支持列表展示、查询、查询重置、批量导入、导出，增加、修改、删除操作。</w:t>
            </w:r>
          </w:p>
          <w:p w14:paraId="361FD2CE">
            <w:pPr>
              <w:tabs>
                <w:tab w:val="left" w:pos="1440"/>
              </w:tabs>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1.1.1.5老旧房屋坍塌风险基础信息管理</w:t>
            </w:r>
          </w:p>
          <w:p w14:paraId="49EADA60">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老旧房屋信息、老旧危房信息、老旧房屋坍塌风险监测设备、老旧房屋坍塌风险应急资源信息，进行综合管理。支持列表展示、查询、查询重置、批量导入、导出，增加、修改、删除操作。</w:t>
            </w:r>
          </w:p>
          <w:p w14:paraId="7B9CAC64">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1.1.1.6 危险源防护目标基础信息管理</w:t>
            </w:r>
          </w:p>
          <w:p w14:paraId="0DB434D8">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对接一体化数字资源系统（IRS），接入加油站危险源信息、储罐危险源信息、危化企业信息、烟花爆竹企业信息，进行综合管理。支持列表展示、查询、查询重置、批量导入、导出，增加、修改、删除操作。</w:t>
            </w:r>
          </w:p>
          <w:p w14:paraId="25FB8A13">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1.1.1.7防护目标基础信息管理</w:t>
            </w:r>
          </w:p>
          <w:p w14:paraId="34F25703">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公共文化场所重点安全防护目标信息、商场超市信息、学校数据、医院数据、火车站数据、公园数据、宗教活动场所数据、桥梁数据、隧道数据、防空洞数据信息，进行综合管理。支持列表展示、查询、查询重置、批量导入、导出，增加、修改、删除操作。</w:t>
            </w:r>
          </w:p>
          <w:p w14:paraId="5A77D907">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1.1.1.8应急综合基础信息管理</w:t>
            </w:r>
          </w:p>
          <w:p w14:paraId="43428A0C">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应急救援车基础信息、应急监控设备数据、应急队伍信息、应急物资数据、无人机设备数据、头盔设备数据、对讲设备数据、鹰眼设备数据、手环设备数据、应急避难场所数据、应急专家数据信息，进行综合管理。支持列表展示、查询、查询重置、批量导入、导出，增加、修改、删除操作。</w:t>
            </w:r>
          </w:p>
          <w:p w14:paraId="4FFAE9AD">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1.1.2风险辨识管理</w:t>
            </w:r>
          </w:p>
          <w:p w14:paraId="679DA00C">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1.1.2.1风险辨识指南信息管理</w:t>
            </w:r>
          </w:p>
          <w:p w14:paraId="154E5972">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对接一体化数字资源系统（IRS），接入风险辨识参考指南信息，建立风险辨识指南标电子档案，进行综合管理。支持添加、修改、删除、查询、导入、导出等操作。</w:t>
            </w:r>
          </w:p>
          <w:p w14:paraId="119BA434">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1.1.2.2风险辨识计划管理</w:t>
            </w:r>
          </w:p>
          <w:p w14:paraId="68B649D0">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支持创建风险排查计划、设定任务部门和时间等，提供风险辨识指南、风险排查清单样式等相关附件，支持列表展示、查询、查询重置、批量导入、导出，增加、修改、删除操作。</w:t>
            </w:r>
          </w:p>
          <w:p w14:paraId="1A892A4E">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1.1.2.3风险辨识任务管理</w:t>
            </w:r>
          </w:p>
          <w:p w14:paraId="3864A160">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支持风险辨识任务查看、派发、提醒、下载、导出、统计等操作。</w:t>
            </w:r>
          </w:p>
          <w:p w14:paraId="39F966C8">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1.1.2.4风险辨登记管理</w:t>
            </w:r>
          </w:p>
          <w:p w14:paraId="2B0C6FB6">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对接一体化数字资源系统（IRS），接入风险辨识过程信息，建立风险辨识过程电子档案，对电子档案进行综合管理，支持列表展示、查询、查询重置、批量导入、导出，增加、修改、删除操作。</w:t>
            </w:r>
          </w:p>
          <w:p w14:paraId="7E48318B">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1.1.3风险区域管理</w:t>
            </w:r>
          </w:p>
          <w:p w14:paraId="0F6B5959">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对接一体化数字资源系统（IRS），接入各委办局风险区域信息，对</w:t>
            </w:r>
            <w:r>
              <w:rPr>
                <w:rFonts w:hint="eastAsia" w:ascii="仿宋" w:hAnsi="仿宋" w:eastAsia="仿宋" w:cs="仿宋"/>
                <w:color w:val="000000"/>
                <w:sz w:val="21"/>
                <w:szCs w:val="21"/>
                <w:lang w:bidi="ar"/>
              </w:rPr>
              <w:t>老旧危房、高层建筑火灾、景区大客流、电梯运行、两客一危车辆运输等公共安全重点领域的风险区域</w:t>
            </w:r>
            <w:r>
              <w:rPr>
                <w:rFonts w:hint="eastAsia" w:ascii="仿宋" w:hAnsi="仿宋" w:eastAsia="仿宋" w:cs="仿宋"/>
                <w:color w:val="000000"/>
                <w:sz w:val="21"/>
                <w:szCs w:val="21"/>
              </w:rPr>
              <w:t>信息进行维护。实现新增、编辑、删除、查询、导入导出和</w:t>
            </w:r>
            <w:r>
              <w:rPr>
                <w:rFonts w:hint="eastAsia" w:ascii="仿宋" w:hAnsi="仿宋" w:eastAsia="仿宋" w:cs="仿宋"/>
                <w:color w:val="000000"/>
                <w:sz w:val="21"/>
                <w:szCs w:val="21"/>
                <w:lang w:bidi="ar"/>
              </w:rPr>
              <w:t>圈划上图</w:t>
            </w:r>
            <w:r>
              <w:rPr>
                <w:rFonts w:hint="eastAsia" w:ascii="仿宋" w:hAnsi="仿宋" w:eastAsia="仿宋" w:cs="仿宋"/>
                <w:color w:val="000000"/>
                <w:sz w:val="21"/>
                <w:szCs w:val="21"/>
              </w:rPr>
              <w:t>等操作。</w:t>
            </w:r>
          </w:p>
          <w:p w14:paraId="050193EA">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1.1.4风险清单管理</w:t>
            </w:r>
          </w:p>
          <w:p w14:paraId="6D7FE081">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w:t>
            </w:r>
            <w:r>
              <w:rPr>
                <w:rFonts w:hint="eastAsia" w:ascii="仿宋" w:hAnsi="仿宋" w:eastAsia="仿宋" w:cs="仿宋"/>
                <w:color w:val="000000"/>
                <w:sz w:val="21"/>
                <w:szCs w:val="21"/>
                <w:lang w:bidi="ar"/>
              </w:rPr>
              <w:t>相关行业主管部门</w:t>
            </w:r>
            <w:r>
              <w:rPr>
                <w:rFonts w:hint="eastAsia" w:ascii="仿宋" w:hAnsi="仿宋" w:eastAsia="仿宋" w:cs="仿宋"/>
                <w:color w:val="000000"/>
                <w:sz w:val="21"/>
                <w:szCs w:val="21"/>
              </w:rPr>
              <w:t>的老旧房屋坍塌、高层建筑火灾、大客流、城市电梯运行和重点车辆运输风险点、风险分布等风险辨识数据，并对电子清单进行管理。支持列表展示、查询、查询重置、批量导入、导出，增加、修改、删除操作。</w:t>
            </w:r>
          </w:p>
          <w:p w14:paraId="6AD24DF5">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1.1.5知识库</w:t>
            </w:r>
          </w:p>
          <w:p w14:paraId="15F6FFE0">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构建公共安全知识库，实现对公共安全相关的事故案例、法律法规和标准规范汇聚和查询，包括事故案例、法律法规、标准规范和规章制度等内容。可通过关键词进行搜索，搜索结果将通过表格进行展示。</w:t>
            </w:r>
          </w:p>
          <w:p w14:paraId="32F77BC1">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1.2公共安全风险隐患耦合分析及动态评估</w:t>
            </w:r>
          </w:p>
          <w:p w14:paraId="163B95E5">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1.2.1风险指标管理</w:t>
            </w:r>
          </w:p>
          <w:p w14:paraId="4AEA2706">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包含风险指标占比权重的展示、修改及指标详情查看等关键功能。</w:t>
            </w:r>
          </w:p>
          <w:p w14:paraId="4A09595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1.2.2区域综合风险评估管理</w:t>
            </w:r>
          </w:p>
          <w:p w14:paraId="1B26763D">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主要涵盖风险指数的展示及查询、风险等级的展示及查询、综合风险态势计算、风险类型分析、风险趋势分析、可视化图表展示等功能。基于区域内老旧房屋坍塌风险、建筑火灾风险、大客流风险、城市电梯运行风险和重点车辆运输风险域内不同类别风险点指数，隐患点指数、动态因子指数、基础设施指数四个一级指标进行区域综合风险评估，输出区域风险指数及对应的区域风险等级</w:t>
            </w:r>
          </w:p>
          <w:p w14:paraId="0F5C6B79">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1.2.3区域综合风险评估模型</w:t>
            </w:r>
          </w:p>
          <w:p w14:paraId="3DEC4ADB">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模型围绕大客流、建筑火灾、城市电梯运行、重点车辆运输、老旧房屋坍塌五大重点公共安全领域，结合气象信息，综合考虑区域内不同类别风险点信息、隐患点信息、动态因子信息、基础设施信息四个一级指标，并分别计算一级指标危险指数，最后计算区域综合风险指数及区域综合风险等级。</w:t>
            </w:r>
          </w:p>
          <w:p w14:paraId="18A5ED1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1.2.4风险评估报告</w:t>
            </w:r>
          </w:p>
          <w:p w14:paraId="62F32D2D">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按照公共安全区域综合风险评估数据结果，并结合报告模板，定期自动生成区域风险评估报告，为监管部门提供科学、有效的决策支持。支持报告模板的创建、导入、审核、修改、查询筛选、详情查看及导出等关键功能，</w:t>
            </w:r>
          </w:p>
          <w:p w14:paraId="47E5919C">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1.3公共安全风险隐患可视化管控</w:t>
            </w:r>
          </w:p>
          <w:p w14:paraId="505DFDDA">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1.3.1风险管控措施管理</w:t>
            </w:r>
          </w:p>
          <w:p w14:paraId="190EC573">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获取各单位风险管控措施信息，包括老旧危房风险管控措施、电梯运行风险管控措施、高层建筑火灾措施、景区大客流风险管控措施以及两客一危车辆运输风险管控措施，支持通过应用进行风险管控措施的查询查看、统计分析、下载导出等。</w:t>
            </w:r>
          </w:p>
          <w:p w14:paraId="1853F27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1.3.2风险管控台账</w:t>
            </w:r>
          </w:p>
          <w:p w14:paraId="17D28B91">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将风险管控数据进行接入管理，生成风险管控台账。汇聚并梳理老旧房屋坍塌风险、建筑火灾风险、大客流风险、城市电梯运行风险和重点车辆运输风险的各级风险数据，提供综合风险查看的入口，支持展示并查看风险台账。对于风险名称、等级、处置建议、发生定位、风险分析、风险记录等基础信息支持录入、维护、excel文档导入等，支持详情查看。</w:t>
            </w:r>
          </w:p>
          <w:p w14:paraId="35307AE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1.3.3风险统计分析</w:t>
            </w:r>
          </w:p>
          <w:p w14:paraId="1A70DCC7">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支持对风险按照类别、等级等不同维度进行统计分析，支持分别查看老旧房屋坍塌风险、建筑火灾风险、大客流风险、城市电梯运行风险和重点车辆运输风险中的具体风险统计信息及分布情况。</w:t>
            </w:r>
          </w:p>
          <w:p w14:paraId="21632E30">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1.3.4风险四色图</w:t>
            </w:r>
          </w:p>
          <w:p w14:paraId="44E84628">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以风险区域为单元，评估该区域的风险值大小，按照城市风险定量值大小，把从最低值到最高值的区间分为重大风险、较大风险、一般风险、低风险四个等级，以红橙黄蓝四色图进行展示。</w:t>
            </w:r>
          </w:p>
          <w:p w14:paraId="17BC1E95">
            <w:pPr>
              <w:spacing w:line="360" w:lineRule="auto"/>
              <w:rPr>
                <w:rFonts w:hint="eastAsia" w:ascii="仿宋" w:hAnsi="仿宋" w:eastAsia="仿宋" w:cs="仿宋"/>
                <w:color w:val="000000"/>
                <w:sz w:val="21"/>
                <w:szCs w:val="21"/>
              </w:rPr>
            </w:pPr>
          </w:p>
        </w:tc>
        <w:tc>
          <w:tcPr>
            <w:tcW w:w="399" w:type="pct"/>
            <w:noWrap w:val="0"/>
            <w:vAlign w:val="center"/>
          </w:tcPr>
          <w:p w14:paraId="4628FD22">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套</w:t>
            </w:r>
          </w:p>
        </w:tc>
        <w:tc>
          <w:tcPr>
            <w:tcW w:w="716" w:type="pct"/>
            <w:noWrap/>
            <w:vAlign w:val="center"/>
          </w:tcPr>
          <w:p w14:paraId="0BC2A002">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r>
      <w:tr w14:paraId="41D1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07D601C4">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685" w:type="pct"/>
            <w:noWrap w:val="0"/>
            <w:vAlign w:val="center"/>
          </w:tcPr>
          <w:p w14:paraId="7027C585">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公共安全隐患整治</w:t>
            </w:r>
          </w:p>
        </w:tc>
        <w:tc>
          <w:tcPr>
            <w:tcW w:w="2798" w:type="pct"/>
            <w:noWrap w:val="0"/>
            <w:vAlign w:val="center"/>
          </w:tcPr>
          <w:p w14:paraId="2E7A1B76">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11" w:name="_Toc9749"/>
            <w:bookmarkStart w:id="12" w:name="OLE_LINK33"/>
            <w:r>
              <w:rPr>
                <w:rFonts w:hint="eastAsia" w:ascii="仿宋" w:hAnsi="仿宋" w:eastAsia="仿宋" w:cs="仿宋"/>
                <w:color w:val="000000"/>
                <w:sz w:val="21"/>
                <w:szCs w:val="21"/>
              </w:rPr>
              <w:t>2.1公共安全隐患智能预警</w:t>
            </w:r>
            <w:bookmarkEnd w:id="11"/>
            <w:bookmarkEnd w:id="12"/>
          </w:p>
          <w:p w14:paraId="07A8E902">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13" w:name="_Toc25632"/>
            <w:r>
              <w:rPr>
                <w:rFonts w:hint="eastAsia" w:ascii="仿宋" w:hAnsi="仿宋" w:eastAsia="仿宋" w:cs="仿宋"/>
                <w:color w:val="000000"/>
                <w:sz w:val="21"/>
                <w:szCs w:val="21"/>
              </w:rPr>
              <w:t>2.1.1隐患辨识指南</w:t>
            </w:r>
            <w:bookmarkEnd w:id="13"/>
          </w:p>
          <w:p w14:paraId="0D11F322">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对接一体化数字资源系统（IRS），接入隐患辨识参考指南信息，通过该功能可以实时了解各类隐患的辨识方法和辨识标准，为现场隐患排查提供参考。</w:t>
            </w:r>
          </w:p>
          <w:p w14:paraId="1323B710">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14" w:name="_Toc21069"/>
            <w:r>
              <w:rPr>
                <w:rFonts w:hint="eastAsia" w:ascii="仿宋" w:hAnsi="仿宋" w:eastAsia="仿宋" w:cs="仿宋"/>
                <w:color w:val="000000"/>
                <w:sz w:val="21"/>
                <w:szCs w:val="21"/>
              </w:rPr>
              <w:t>2.1.2隐患排查登记</w:t>
            </w:r>
            <w:bookmarkEnd w:id="14"/>
          </w:p>
          <w:p w14:paraId="3B831B81">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获取各部门隐患排查登记信息进行统一管理，同时提供隐患排查登记入口，各部门可通过该入口进行隐患信息的排查登记与上传。</w:t>
            </w:r>
          </w:p>
          <w:p w14:paraId="5A072418">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2.1.3隐患清单</w:t>
            </w:r>
          </w:p>
          <w:p w14:paraId="4AB38E40">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获取</w:t>
            </w:r>
            <w:r>
              <w:rPr>
                <w:rFonts w:hint="eastAsia" w:ascii="仿宋" w:hAnsi="仿宋" w:eastAsia="仿宋" w:cs="仿宋"/>
                <w:color w:val="000000"/>
                <w:sz w:val="21"/>
                <w:szCs w:val="21"/>
                <w:lang w:bidi="ar"/>
              </w:rPr>
              <w:t>相关行业主管部门</w:t>
            </w:r>
            <w:r>
              <w:rPr>
                <w:rFonts w:hint="eastAsia" w:ascii="仿宋" w:hAnsi="仿宋" w:eastAsia="仿宋" w:cs="仿宋"/>
                <w:color w:val="000000"/>
                <w:sz w:val="21"/>
                <w:szCs w:val="21"/>
              </w:rPr>
              <w:t>的老旧房屋坍塌、高层建筑火灾、大客流、城市电梯运行和重点车辆运输隐患名称、隐患责任人等隐患排查数据，形成公共安全隐患清单（一般隐患清单、重大隐患清单），并对电子清单进行管理。</w:t>
            </w:r>
          </w:p>
          <w:p w14:paraId="642D5050">
            <w:pPr>
              <w:spacing w:line="360" w:lineRule="auto"/>
              <w:ind w:firstLine="420" w:firstLineChars="200"/>
              <w:jc w:val="left"/>
              <w:textAlignment w:val="center"/>
              <w:rPr>
                <w:rFonts w:hint="eastAsia" w:ascii="仿宋" w:hAnsi="仿宋" w:eastAsia="仿宋" w:cs="仿宋"/>
                <w:color w:val="000000"/>
                <w:sz w:val="21"/>
                <w:szCs w:val="21"/>
              </w:rPr>
            </w:pPr>
            <w:bookmarkStart w:id="15" w:name="_Toc14766"/>
            <w:r>
              <w:rPr>
                <w:rFonts w:hint="eastAsia" w:ascii="仿宋" w:hAnsi="仿宋" w:eastAsia="仿宋" w:cs="仿宋"/>
                <w:color w:val="000000"/>
                <w:sz w:val="21"/>
                <w:szCs w:val="21"/>
              </w:rPr>
              <w:t>2.1.4隐患排查提醒</w:t>
            </w:r>
            <w:bookmarkEnd w:id="15"/>
          </w:p>
          <w:p w14:paraId="51C0351A">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内置智能时间判断机制，依据各隐患预设的整改期限，自动与当前时间进行比对，精确识别出逾期未完成整改的隐患，同时对被挂牌督办的隐患（即因严重性等因素被特别标记需加速处理的隐患）进行标记处理。多种方式灵活提醒工作人员及时处理。</w:t>
            </w:r>
          </w:p>
          <w:p w14:paraId="030EB60B">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16" w:name="_Toc7846"/>
            <w:r>
              <w:rPr>
                <w:rFonts w:hint="eastAsia" w:ascii="仿宋" w:hAnsi="仿宋" w:eastAsia="仿宋" w:cs="仿宋"/>
                <w:color w:val="000000"/>
                <w:sz w:val="21"/>
                <w:szCs w:val="21"/>
              </w:rPr>
              <w:t>2.2公共安全隐患整治任务在线分发</w:t>
            </w:r>
            <w:bookmarkEnd w:id="16"/>
          </w:p>
          <w:p w14:paraId="3A1C498E">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提供隐患排查任务管理功能，应急局可通过该系统进行任务的编制、执行、派发、查询统计等，辅助用户对全区隐患排查工作进行组织、监督、管理。</w:t>
            </w:r>
          </w:p>
          <w:p w14:paraId="17A7A521">
            <w:pPr>
              <w:spacing w:line="360" w:lineRule="auto"/>
              <w:ind w:firstLine="420" w:firstLineChars="200"/>
              <w:jc w:val="left"/>
              <w:textAlignment w:val="center"/>
              <w:rPr>
                <w:rFonts w:hint="eastAsia" w:ascii="仿宋" w:hAnsi="仿宋" w:eastAsia="仿宋" w:cs="仿宋"/>
                <w:color w:val="000000"/>
                <w:sz w:val="21"/>
                <w:szCs w:val="21"/>
              </w:rPr>
            </w:pPr>
            <w:bookmarkStart w:id="17" w:name="_Toc19224"/>
            <w:r>
              <w:rPr>
                <w:rFonts w:hint="eastAsia" w:ascii="仿宋" w:hAnsi="仿宋" w:eastAsia="仿宋" w:cs="仿宋"/>
                <w:color w:val="000000"/>
                <w:sz w:val="21"/>
                <w:szCs w:val="21"/>
              </w:rPr>
              <w:t>2.3公共安全隐患联合整治</w:t>
            </w:r>
            <w:bookmarkEnd w:id="17"/>
          </w:p>
          <w:p w14:paraId="6774785F">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2.3.1隐患整治台账</w:t>
            </w:r>
          </w:p>
          <w:p w14:paraId="64880B14">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应用对接一体化数字资源系统（IRS），接入一般隐患整治台账信息和重大隐患整治台账信息，建立综合隐患台账电子档案，进行综合管理，支持展示并查看隐患整治台账。支持列表展示、查询、查询重置、批量导入、导出，增加、修改、删除操作。</w:t>
            </w:r>
          </w:p>
          <w:p w14:paraId="2EE4CFF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2.3.2隐患整治过程管理</w:t>
            </w:r>
          </w:p>
          <w:p w14:paraId="7BFA2BC4">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整合各部门提供的隐患整治任务数据，分发整治任务，支持列表展示、搜索与查看、状态更新、流程查看、信息新增、修改、删除、统计、下载、导出操作。</w:t>
            </w:r>
          </w:p>
          <w:p w14:paraId="1C15AB17">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bookmarkStart w:id="18" w:name="_Toc2676"/>
            <w:r>
              <w:rPr>
                <w:rFonts w:hint="eastAsia" w:ascii="仿宋" w:hAnsi="仿宋" w:eastAsia="仿宋" w:cs="仿宋"/>
                <w:color w:val="000000"/>
                <w:sz w:val="21"/>
                <w:szCs w:val="21"/>
              </w:rPr>
              <w:t>2.3.3巡查督查检查</w:t>
            </w:r>
            <w:bookmarkEnd w:id="18"/>
          </w:p>
          <w:p w14:paraId="755FC87C">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针对区级以上巡查督查反馈问题以及本级督查发现的问题隐患，制定督查管理办法，规范隐患问题巡查督察管理。包括</w:t>
            </w:r>
            <w:bookmarkStart w:id="19" w:name="_Toc13066"/>
            <w:r>
              <w:rPr>
                <w:rFonts w:hint="eastAsia" w:ascii="仿宋" w:hAnsi="仿宋" w:eastAsia="仿宋" w:cs="仿宋"/>
                <w:color w:val="000000"/>
                <w:sz w:val="21"/>
                <w:szCs w:val="21"/>
              </w:rPr>
              <w:t>巡查督查问题登记</w:t>
            </w:r>
            <w:bookmarkEnd w:id="19"/>
            <w:r>
              <w:rPr>
                <w:rFonts w:hint="eastAsia" w:ascii="仿宋" w:hAnsi="仿宋" w:eastAsia="仿宋" w:cs="仿宋"/>
                <w:color w:val="000000"/>
                <w:sz w:val="21"/>
                <w:szCs w:val="21"/>
              </w:rPr>
              <w:t>、</w:t>
            </w:r>
            <w:bookmarkStart w:id="20" w:name="_Toc17727"/>
            <w:r>
              <w:rPr>
                <w:rFonts w:hint="eastAsia" w:ascii="仿宋" w:hAnsi="仿宋" w:eastAsia="仿宋" w:cs="仿宋"/>
                <w:color w:val="000000"/>
                <w:sz w:val="21"/>
                <w:szCs w:val="21"/>
              </w:rPr>
              <w:t>巡查督查计划管理</w:t>
            </w:r>
            <w:bookmarkEnd w:id="20"/>
            <w:r>
              <w:rPr>
                <w:rFonts w:hint="eastAsia" w:ascii="仿宋" w:hAnsi="仿宋" w:eastAsia="仿宋" w:cs="仿宋"/>
                <w:color w:val="000000"/>
                <w:sz w:val="21"/>
                <w:szCs w:val="21"/>
              </w:rPr>
              <w:t>、</w:t>
            </w:r>
            <w:bookmarkStart w:id="21" w:name="_Toc6541"/>
            <w:r>
              <w:rPr>
                <w:rFonts w:hint="eastAsia" w:ascii="仿宋" w:hAnsi="仿宋" w:eastAsia="仿宋" w:cs="仿宋"/>
                <w:color w:val="000000"/>
                <w:sz w:val="21"/>
                <w:szCs w:val="21"/>
              </w:rPr>
              <w:t>交办督办通知管理</w:t>
            </w:r>
            <w:bookmarkEnd w:id="21"/>
            <w:r>
              <w:rPr>
                <w:rFonts w:hint="eastAsia" w:ascii="仿宋" w:hAnsi="仿宋" w:eastAsia="仿宋" w:cs="仿宋"/>
                <w:color w:val="000000"/>
                <w:sz w:val="21"/>
                <w:szCs w:val="21"/>
              </w:rPr>
              <w:t>、</w:t>
            </w:r>
            <w:bookmarkStart w:id="22" w:name="_Toc20619"/>
            <w:r>
              <w:rPr>
                <w:rFonts w:hint="eastAsia" w:ascii="仿宋" w:hAnsi="仿宋" w:eastAsia="仿宋" w:cs="仿宋"/>
                <w:color w:val="000000"/>
                <w:sz w:val="21"/>
                <w:szCs w:val="21"/>
              </w:rPr>
              <w:t>巡查督查台账</w:t>
            </w:r>
            <w:bookmarkEnd w:id="22"/>
            <w:r>
              <w:rPr>
                <w:rFonts w:hint="eastAsia" w:ascii="仿宋" w:hAnsi="仿宋" w:eastAsia="仿宋" w:cs="仿宋"/>
                <w:color w:val="000000"/>
                <w:sz w:val="21"/>
                <w:szCs w:val="21"/>
              </w:rPr>
              <w:t>、</w:t>
            </w:r>
            <w:bookmarkStart w:id="23" w:name="_Toc20939"/>
            <w:r>
              <w:rPr>
                <w:rFonts w:hint="eastAsia" w:ascii="仿宋" w:hAnsi="仿宋" w:eastAsia="仿宋" w:cs="仿宋"/>
                <w:color w:val="000000"/>
                <w:sz w:val="21"/>
                <w:szCs w:val="21"/>
              </w:rPr>
              <w:t>巡查督查整改记录</w:t>
            </w:r>
            <w:bookmarkEnd w:id="23"/>
            <w:r>
              <w:rPr>
                <w:rFonts w:hint="eastAsia" w:ascii="仿宋" w:hAnsi="仿宋" w:eastAsia="仿宋" w:cs="仿宋"/>
                <w:color w:val="000000"/>
                <w:sz w:val="21"/>
                <w:szCs w:val="21"/>
              </w:rPr>
              <w:t>、</w:t>
            </w:r>
            <w:bookmarkStart w:id="24" w:name="_Toc21906"/>
            <w:bookmarkStart w:id="25" w:name="_Hlk187249258"/>
            <w:r>
              <w:rPr>
                <w:rFonts w:hint="eastAsia" w:ascii="仿宋" w:hAnsi="仿宋" w:eastAsia="仿宋" w:cs="仿宋"/>
                <w:color w:val="000000"/>
                <w:sz w:val="21"/>
                <w:szCs w:val="21"/>
              </w:rPr>
              <w:t>巡查督查问题复查记录</w:t>
            </w:r>
            <w:bookmarkEnd w:id="24"/>
            <w:bookmarkEnd w:id="25"/>
            <w:r>
              <w:rPr>
                <w:rFonts w:hint="eastAsia" w:ascii="仿宋" w:hAnsi="仿宋" w:eastAsia="仿宋" w:cs="仿宋"/>
                <w:color w:val="000000"/>
                <w:sz w:val="21"/>
                <w:szCs w:val="21"/>
              </w:rPr>
              <w:t>。</w:t>
            </w:r>
          </w:p>
          <w:p w14:paraId="51E25185">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26" w:name="_Toc1308"/>
            <w:r>
              <w:rPr>
                <w:rFonts w:hint="eastAsia" w:ascii="仿宋" w:hAnsi="仿宋" w:eastAsia="仿宋" w:cs="仿宋"/>
                <w:color w:val="000000"/>
                <w:sz w:val="21"/>
                <w:szCs w:val="21"/>
              </w:rPr>
              <w:t>2.4公共安全隐患整治结果在线反馈销号</w:t>
            </w:r>
            <w:bookmarkEnd w:id="26"/>
          </w:p>
          <w:p w14:paraId="236E3CC7">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27" w:name="OLE_LINK67"/>
            <w:bookmarkStart w:id="28" w:name="_Toc4496"/>
            <w:r>
              <w:rPr>
                <w:rFonts w:hint="eastAsia" w:ascii="仿宋" w:hAnsi="仿宋" w:eastAsia="仿宋" w:cs="仿宋"/>
                <w:color w:val="000000"/>
                <w:sz w:val="21"/>
                <w:szCs w:val="21"/>
              </w:rPr>
              <w:t>2.4.1隐患整治反馈</w:t>
            </w:r>
            <w:bookmarkEnd w:id="27"/>
            <w:bookmarkEnd w:id="28"/>
          </w:p>
          <w:p w14:paraId="54406268">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接入IRS系统中相关行业主管部门的老旧危房隐患治理、高层建筑火灾隐患治理、旅游景区大客流隐患治理、电梯运行隐患治理、两客一危车辆运输隐患治理等隐患整治反馈数据。</w:t>
            </w:r>
            <w:r>
              <w:rPr>
                <w:rFonts w:hint="eastAsia" w:ascii="仿宋" w:hAnsi="仿宋" w:eastAsia="仿宋" w:cs="仿宋"/>
                <w:color w:val="000000"/>
                <w:sz w:val="21"/>
                <w:szCs w:val="21"/>
              </w:rPr>
              <w:t>支持手动添加、修改、删除、查询、导入、导出操作。</w:t>
            </w:r>
          </w:p>
          <w:p w14:paraId="155C8810">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29" w:name="_Toc30701"/>
            <w:r>
              <w:rPr>
                <w:rFonts w:hint="eastAsia" w:ascii="仿宋" w:hAnsi="仿宋" w:eastAsia="仿宋" w:cs="仿宋"/>
                <w:color w:val="000000"/>
                <w:sz w:val="21"/>
                <w:szCs w:val="21"/>
              </w:rPr>
              <w:t>2.4.2隐患整治复核验收</w:t>
            </w:r>
            <w:bookmarkEnd w:id="29"/>
          </w:p>
          <w:p w14:paraId="3958E2B2">
            <w:pPr>
              <w:spacing w:line="360" w:lineRule="auto"/>
              <w:ind w:firstLine="48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对接一体化数字资源系统（IRS），接入隐患整治复核验收信息，建立隐患整治复核验收台账电子档案，对电子档案进行综合管理。支持手动添加、修改、删除、查询、导入、导出操作。</w:t>
            </w:r>
          </w:p>
          <w:p w14:paraId="2E542BA2">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30" w:name="_Toc19163"/>
            <w:r>
              <w:rPr>
                <w:rFonts w:hint="eastAsia" w:ascii="仿宋" w:hAnsi="仿宋" w:eastAsia="仿宋" w:cs="仿宋"/>
                <w:color w:val="000000"/>
                <w:sz w:val="21"/>
                <w:szCs w:val="21"/>
                <w:lang w:bidi="ar"/>
              </w:rPr>
              <w:t>2.4.3</w:t>
            </w:r>
            <w:r>
              <w:rPr>
                <w:rFonts w:hint="eastAsia" w:ascii="仿宋" w:hAnsi="仿宋" w:eastAsia="仿宋" w:cs="仿宋"/>
                <w:color w:val="000000"/>
                <w:sz w:val="21"/>
                <w:szCs w:val="21"/>
              </w:rPr>
              <w:t>隐患整治督办</w:t>
            </w:r>
            <w:bookmarkEnd w:id="30"/>
          </w:p>
          <w:p w14:paraId="765E292E">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对接一体化数字资源系统（IRS）获取各类原始数据后，按照内部的数据结构和业务逻辑进行整合处理，将分散的、格式不一的数据转化为标准化的、可供后续分析和上报的重大隐患数据集合，剔除重复、无效的数据记录，保证数据质量。识别需要上报的重大隐患数据，挂牌登记督办。智能识别</w:t>
            </w:r>
            <w:bookmarkStart w:id="31" w:name="_Toc13129"/>
            <w:r>
              <w:rPr>
                <w:rFonts w:hint="eastAsia" w:ascii="仿宋" w:hAnsi="仿宋" w:eastAsia="仿宋" w:cs="仿宋"/>
                <w:color w:val="000000"/>
                <w:sz w:val="21"/>
                <w:szCs w:val="21"/>
              </w:rPr>
              <w:t>超期未处置隐患标记提醒</w:t>
            </w:r>
            <w:bookmarkEnd w:id="31"/>
            <w:r>
              <w:rPr>
                <w:rFonts w:hint="eastAsia" w:ascii="仿宋" w:hAnsi="仿宋" w:eastAsia="仿宋" w:cs="仿宋"/>
                <w:color w:val="000000"/>
                <w:sz w:val="21"/>
                <w:szCs w:val="21"/>
              </w:rPr>
              <w:t>。</w:t>
            </w:r>
            <w:r>
              <w:rPr>
                <w:rFonts w:hint="eastAsia" w:ascii="仿宋" w:hAnsi="仿宋" w:eastAsia="仿宋" w:cs="仿宋"/>
                <w:color w:val="000000"/>
                <w:sz w:val="21"/>
                <w:szCs w:val="21"/>
                <w:lang w:bidi="ar"/>
              </w:rPr>
              <w:t>支持对整治完成的重大隐患进行销号，保存、查询、导出。</w:t>
            </w:r>
            <w:r>
              <w:rPr>
                <w:rFonts w:hint="eastAsia" w:ascii="仿宋" w:hAnsi="仿宋" w:eastAsia="仿宋" w:cs="仿宋"/>
                <w:color w:val="000000"/>
                <w:sz w:val="21"/>
                <w:szCs w:val="21"/>
              </w:rPr>
              <w:t>以图表、列表形式展示各类重大隐患整治督办台账，支持台账数据的增、删、改、查、导出导出等操作。</w:t>
            </w:r>
          </w:p>
          <w:p w14:paraId="693B404B">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32" w:name="_Toc11024"/>
            <w:r>
              <w:rPr>
                <w:rFonts w:hint="eastAsia" w:ascii="仿宋" w:hAnsi="仿宋" w:eastAsia="仿宋" w:cs="仿宋"/>
                <w:color w:val="000000"/>
                <w:sz w:val="21"/>
                <w:szCs w:val="21"/>
              </w:rPr>
              <w:t>2.4.4隐患整治评价</w:t>
            </w:r>
            <w:bookmarkEnd w:id="32"/>
          </w:p>
          <w:p w14:paraId="4348FC74">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按不同责任单位/不同街道等条件对管辖范围的隐患整治任务完成情况进行统计查询、完成情况展示。设置评价指标，隐患整治反馈评价、隐患整治复核验收评价、重大隐患督办销号情况评价、隐患整治总体评价，支持对各项评价指标结果数据、评价详情内容等信息查看、导出等操作。</w:t>
            </w:r>
          </w:p>
          <w:p w14:paraId="0D925B34">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2.4.5隐患整治统计分析</w:t>
            </w:r>
          </w:p>
          <w:p w14:paraId="31E348E3">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支持对隐患数据、隐患整治过程、隐患整治整改情况、巡查督查检查、重大隐患督办、隐患处置效率进行统计分析，可视化展示。</w:t>
            </w:r>
          </w:p>
          <w:p w14:paraId="06232AA4">
            <w:pPr>
              <w:spacing w:line="360" w:lineRule="auto"/>
              <w:rPr>
                <w:rFonts w:hint="eastAsia" w:ascii="仿宋" w:hAnsi="仿宋" w:eastAsia="仿宋" w:cs="仿宋"/>
                <w:color w:val="000000"/>
                <w:kern w:val="0"/>
                <w:sz w:val="21"/>
                <w:szCs w:val="21"/>
              </w:rPr>
            </w:pPr>
          </w:p>
        </w:tc>
        <w:tc>
          <w:tcPr>
            <w:tcW w:w="399" w:type="pct"/>
            <w:noWrap w:val="0"/>
            <w:vAlign w:val="center"/>
          </w:tcPr>
          <w:p w14:paraId="1F2CC2C5">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套</w:t>
            </w:r>
          </w:p>
        </w:tc>
        <w:tc>
          <w:tcPr>
            <w:tcW w:w="716" w:type="pct"/>
            <w:noWrap/>
            <w:vAlign w:val="center"/>
          </w:tcPr>
          <w:p w14:paraId="7DE1EE20">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r>
      <w:tr w14:paraId="45BF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766BF5D5">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685" w:type="pct"/>
            <w:noWrap w:val="0"/>
            <w:vAlign w:val="center"/>
          </w:tcPr>
          <w:p w14:paraId="4E850118">
            <w:pPr>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公共安全险情预警告警</w:t>
            </w:r>
          </w:p>
          <w:p w14:paraId="0F2DFA2D">
            <w:pPr>
              <w:widowControl/>
              <w:spacing w:line="360" w:lineRule="auto"/>
              <w:jc w:val="center"/>
              <w:rPr>
                <w:rFonts w:hint="eastAsia" w:ascii="仿宋" w:hAnsi="仿宋" w:eastAsia="仿宋" w:cs="仿宋"/>
                <w:color w:val="000000"/>
                <w:sz w:val="21"/>
                <w:szCs w:val="21"/>
              </w:rPr>
            </w:pPr>
          </w:p>
        </w:tc>
        <w:tc>
          <w:tcPr>
            <w:tcW w:w="2798" w:type="pct"/>
            <w:noWrap w:val="0"/>
            <w:vAlign w:val="center"/>
          </w:tcPr>
          <w:p w14:paraId="68A2B830">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bookmarkStart w:id="33" w:name="_Toc7315"/>
            <w:r>
              <w:rPr>
                <w:rFonts w:hint="eastAsia" w:ascii="仿宋" w:hAnsi="仿宋" w:eastAsia="仿宋" w:cs="仿宋"/>
                <w:color w:val="000000"/>
                <w:sz w:val="21"/>
                <w:szCs w:val="21"/>
              </w:rPr>
              <w:t>公共安全风险智能预警</w:t>
            </w:r>
            <w:bookmarkEnd w:id="33"/>
          </w:p>
          <w:p w14:paraId="7FD8E788">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bidi="ar"/>
              </w:rPr>
              <w:t>对接一体化数字资源系统（IRS），</w:t>
            </w:r>
            <w:r>
              <w:rPr>
                <w:rFonts w:hint="eastAsia" w:ascii="仿宋" w:hAnsi="仿宋" w:eastAsia="仿宋" w:cs="仿宋"/>
                <w:color w:val="000000"/>
                <w:sz w:val="21"/>
                <w:szCs w:val="21"/>
              </w:rPr>
              <w:t>接入相关行业主管部门的老旧危房监测、高层建筑消防设施监测、景区客流监测、轨道交通监测、电梯运行监测以及两客一危车辆运输监测等安全运行数据。重点接入实时的险情报警、预警信息以及公共安全相关的舆情监测信息，基于一张图进行展示。具备智能预警模型，通过融合IRS中涉及老旧房屋安全、电梯安全、高层建筑消防安全、大客流安全、两客一危安全等五大公共安全领域相关的基础数据、在线监测数据、舆情监测数据以及天气、人口及交通数据等，并基于内置预警模型，可生成预警信息，并按照事先制定的预警发布机制，将预警推送至相关行业部门及单位。</w:t>
            </w:r>
          </w:p>
          <w:p w14:paraId="75512128">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预警信息管理</w:t>
            </w:r>
          </w:p>
          <w:p w14:paraId="3646D03D">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基于内置预警模型，融合消防、电梯、大客流、两客一危等安全场景的各类风险监测数据，生成预警信息。对各类预警进行汇聚管理，展示预警的名称、类型、时间、位置等概要信息，支持预警详情信息查看，并支持按照预警级别、类型和状态进行查询，包括以及预警详细内容描述等。支持按照预警的行业类型、报警类型、报警级别等，进行通知对象匹配和设置，建立相应的通知对象。</w:t>
            </w:r>
          </w:p>
          <w:p w14:paraId="44F487C3">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bookmarkStart w:id="34" w:name="_Toc9406"/>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监测预警统计分析</w:t>
            </w:r>
            <w:bookmarkEnd w:id="34"/>
          </w:p>
          <w:p w14:paraId="6F97CEBE">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通过对汇聚地监测报警数据及应用产生的预警数据按照时间维度进行报警数据统计，展示近7天、近30天的预警数量趋势变化，方便监管单位及责任单位了解公共安全趋势情况。</w:t>
            </w:r>
          </w:p>
          <w:p w14:paraId="0C0FE5A0">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3.2</w:t>
            </w:r>
            <w:bookmarkStart w:id="35" w:name="_Toc22709"/>
            <w:r>
              <w:rPr>
                <w:rFonts w:hint="eastAsia" w:ascii="仿宋" w:hAnsi="仿宋" w:eastAsia="仿宋" w:cs="仿宋"/>
                <w:color w:val="000000"/>
                <w:sz w:val="21"/>
                <w:szCs w:val="21"/>
              </w:rPr>
              <w:t>公共安全险情多维核实确认</w:t>
            </w:r>
            <w:bookmarkEnd w:id="35"/>
          </w:p>
          <w:p w14:paraId="6CA3A3AE">
            <w:pPr>
              <w:spacing w:line="360" w:lineRule="auto"/>
              <w:ind w:firstLine="48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险情信息进行核实、确认，并结合汇聚的各类险情事件数据进行研判、分析、初步定级，并组织进行下一步协同处置。接入来源于三级治理平台的全量接报信息数据，形成事件信息库表，支持信息填报；通过电话对接知晓险情信息，支持工作人员进行事件信息录入；支持提供系统填报模块，各委办局针对需要多跨协同处置的重大报警事件进行填报，包括事件名称、级别、发生时间、发生位置、事件信息描述、有无伤亡人员等内容。工作人员可</w:t>
            </w:r>
            <w:r>
              <w:rPr>
                <w:rFonts w:hint="eastAsia" w:ascii="仿宋" w:hAnsi="仿宋" w:eastAsia="仿宋" w:cs="仿宋"/>
                <w:color w:val="000000"/>
                <w:sz w:val="21"/>
                <w:szCs w:val="21"/>
                <w:lang w:bidi="ar"/>
              </w:rPr>
              <w:t>通过视频监控、电话核实及现场确认等多种方式对险情事件及当前发展态势进行核实。若事件信息属实，则结合最新的事件发展更新事件信息.</w:t>
            </w:r>
          </w:p>
          <w:p w14:paraId="1E37827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3.3</w:t>
            </w:r>
            <w:bookmarkStart w:id="36" w:name="_Toc8386"/>
            <w:r>
              <w:rPr>
                <w:rFonts w:hint="eastAsia" w:ascii="仿宋" w:hAnsi="仿宋" w:eastAsia="仿宋" w:cs="仿宋"/>
                <w:color w:val="000000"/>
                <w:sz w:val="21"/>
                <w:szCs w:val="21"/>
              </w:rPr>
              <w:t>公共安全险情精准发布</w:t>
            </w:r>
            <w:bookmarkEnd w:id="36"/>
          </w:p>
          <w:p w14:paraId="27A9B796">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sz w:val="21"/>
                <w:szCs w:val="21"/>
                <w:lang w:bidi="ar"/>
              </w:rPr>
              <w:t>结合相关部门的事件上报信息，以及险情分析信息，进行决策研判，并根据应急预案，对险情事件进行初步定级，将事件信息分类分级向三级城市运行治理平台进行数据推送，由三级治理中心平台向相关的联动处置部门进行精准发布。</w:t>
            </w:r>
          </w:p>
        </w:tc>
        <w:tc>
          <w:tcPr>
            <w:tcW w:w="399" w:type="pct"/>
            <w:noWrap w:val="0"/>
            <w:vAlign w:val="center"/>
          </w:tcPr>
          <w:p w14:paraId="561CB6E2">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1BF85AC0">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12DD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4608C344">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685" w:type="pct"/>
            <w:noWrap w:val="0"/>
            <w:vAlign w:val="center"/>
          </w:tcPr>
          <w:p w14:paraId="13E6A670">
            <w:pPr>
              <w:widowControl/>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公共安全险情多跨协同处置</w:t>
            </w:r>
          </w:p>
        </w:tc>
        <w:tc>
          <w:tcPr>
            <w:tcW w:w="2798" w:type="pct"/>
            <w:noWrap w:val="0"/>
            <w:vAlign w:val="center"/>
          </w:tcPr>
          <w:p w14:paraId="1161B18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4.1</w:t>
            </w:r>
            <w:bookmarkStart w:id="37" w:name="_Toc19872"/>
            <w:r>
              <w:rPr>
                <w:rFonts w:hint="eastAsia" w:ascii="仿宋" w:hAnsi="仿宋" w:eastAsia="仿宋" w:cs="仿宋"/>
                <w:color w:val="000000"/>
                <w:sz w:val="21"/>
                <w:szCs w:val="21"/>
              </w:rPr>
              <w:t>预案智能匹配分拨</w:t>
            </w:r>
            <w:bookmarkEnd w:id="37"/>
          </w:p>
          <w:p w14:paraId="5F7E9E70">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具备数字预案管理、预案体系构建以及预案辅助决策三大模块，通过对渝中区公共安全类险情事件预案的数字化、结构化管理，建立预案体系、机构体系、职责体系、任务体系、场景体系等，实现在险情事件处置中的预案自动匹配、应急预案推送、指挥架构生成以及任务指令推送等。数字预案管理支持对预案的基础管理、预案历史版本管理、预案分类管理、预案启用管理、数字化预案导出、数字化模块导航、图谱模式展示等。智能匹配预案支持按照事件特征、多维度综合匹配、分类匹配规则、分级匹配等规则对发生的事件自动匹配最适配的应急预案，支持手动调整应急预案及响应级别，应急预案内容展示。确认启动响应的应急预案后，点击一键启动，支持按照预案推送条件，将相关预案和结构化的职责与任务等信息自动分发给相关部门的相关人员，使其清楚了解自己的职责、任务与处置动作，实现跨部门协同处置。应急响应启动后，可进行指挥调度。</w:t>
            </w:r>
          </w:p>
          <w:p w14:paraId="6283BDA3">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4.2</w:t>
            </w:r>
            <w:bookmarkStart w:id="38" w:name="_Toc11370"/>
            <w:r>
              <w:rPr>
                <w:rFonts w:hint="eastAsia" w:ascii="仿宋" w:hAnsi="仿宋" w:eastAsia="仿宋" w:cs="仿宋"/>
                <w:color w:val="000000"/>
                <w:sz w:val="21"/>
                <w:szCs w:val="21"/>
              </w:rPr>
              <w:t>在线联合会商研判</w:t>
            </w:r>
            <w:bookmarkEnd w:id="38"/>
          </w:p>
          <w:p w14:paraId="31FA23AB">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针对各委办局上报的险情事件，根据事件类型、严重程度、发展趋势和影响范围，结合汇聚的事件信息以及险情研判分析结果，可组织相关部门，创建会议，进行在线会商研判。</w:t>
            </w:r>
          </w:p>
          <w:p w14:paraId="7C53F2D7">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4.3</w:t>
            </w:r>
            <w:bookmarkStart w:id="39" w:name="_Toc25141"/>
            <w:r>
              <w:rPr>
                <w:rFonts w:hint="eastAsia" w:ascii="仿宋" w:hAnsi="仿宋" w:eastAsia="仿宋" w:cs="仿宋"/>
                <w:color w:val="000000"/>
                <w:sz w:val="21"/>
                <w:szCs w:val="21"/>
              </w:rPr>
              <w:t>公共安全险情智能模拟推演</w:t>
            </w:r>
            <w:bookmarkEnd w:id="39"/>
          </w:p>
          <w:p w14:paraId="6C28DA55">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结合当前险情事件的现场上报数据、监测数据、风险隐患数据、周边环境数据及实时的气象、交通、人口热力数据等，通过耦合分析模型分析出可能进一步发生的次生、衍生灾害，提供给相关人员。</w:t>
            </w:r>
          </w:p>
          <w:p w14:paraId="2AC7CEAD">
            <w:pPr>
              <w:autoSpaceDE w:val="0"/>
              <w:spacing w:line="360" w:lineRule="auto"/>
              <w:ind w:firstLine="420" w:firstLineChars="200"/>
              <w:jc w:val="left"/>
              <w:textAlignment w:val="center"/>
              <w:rPr>
                <w:rFonts w:hint="eastAsia" w:ascii="仿宋" w:hAnsi="仿宋" w:eastAsia="仿宋" w:cs="仿宋"/>
                <w:color w:val="000000"/>
                <w:sz w:val="21"/>
                <w:szCs w:val="21"/>
              </w:rPr>
            </w:pPr>
            <w:bookmarkStart w:id="40" w:name="_Toc21602"/>
            <w:r>
              <w:rPr>
                <w:rFonts w:hint="eastAsia" w:ascii="仿宋" w:hAnsi="仿宋" w:eastAsia="仿宋" w:cs="仿宋"/>
                <w:color w:val="000000"/>
                <w:sz w:val="21"/>
                <w:szCs w:val="21"/>
              </w:rPr>
              <w:t>基于知识图谱的次生衍生风险分析模型</w:t>
            </w:r>
            <w:bookmarkEnd w:id="40"/>
            <w:r>
              <w:rPr>
                <w:rFonts w:hint="eastAsia" w:ascii="仿宋" w:hAnsi="仿宋" w:eastAsia="仿宋" w:cs="仿宋"/>
                <w:color w:val="000000"/>
                <w:sz w:val="21"/>
                <w:szCs w:val="21"/>
              </w:rPr>
              <w:t>是基于历史应急事故等应急知识构建城市安全知识图谱；根据事件信息和相应的事件地理和数据信息，使用知识图谱推理算法，分析可能发生的次生衍生风险及预估事件后果。基于一张图展示次生、衍生风险信息，包括可能发生的次生衍生事件、发生概率以及灾害后果等信息。</w:t>
            </w:r>
          </w:p>
          <w:p w14:paraId="228C013C">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4.4</w:t>
            </w:r>
            <w:bookmarkStart w:id="41" w:name="_Toc20685"/>
            <w:r>
              <w:rPr>
                <w:rFonts w:hint="eastAsia" w:ascii="仿宋" w:hAnsi="仿宋" w:eastAsia="仿宋" w:cs="仿宋"/>
                <w:color w:val="000000"/>
                <w:sz w:val="21"/>
                <w:szCs w:val="21"/>
              </w:rPr>
              <w:t>部门协同处置反馈销号</w:t>
            </w:r>
            <w:bookmarkEnd w:id="41"/>
          </w:p>
          <w:p w14:paraId="771BE457">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4.4.1</w:t>
            </w:r>
            <w:bookmarkStart w:id="42" w:name="_Toc29584"/>
            <w:r>
              <w:rPr>
                <w:rFonts w:hint="eastAsia" w:ascii="仿宋" w:hAnsi="仿宋" w:eastAsia="仿宋" w:cs="仿宋"/>
                <w:color w:val="000000"/>
                <w:sz w:val="21"/>
                <w:szCs w:val="21"/>
              </w:rPr>
              <w:t>险情事件数据管理</w:t>
            </w:r>
            <w:bookmarkEnd w:id="42"/>
          </w:p>
          <w:p w14:paraId="25A81116">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险情事件列表按照发生时间排序显示，主要字段包括事件时间、事件类型、事件级别、发生地址、责任单位信息、事件上报人员等，默认显示操作员权限范围内的未处置完成的事件。支持历史事件信息获取和当前事件信息获取。</w:t>
            </w:r>
          </w:p>
          <w:p w14:paraId="48A1331C">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4.4.2</w:t>
            </w:r>
            <w:bookmarkStart w:id="43" w:name="_Toc32426"/>
            <w:r>
              <w:rPr>
                <w:rFonts w:hint="eastAsia" w:ascii="仿宋" w:hAnsi="仿宋" w:eastAsia="仿宋" w:cs="仿宋"/>
                <w:color w:val="000000"/>
                <w:sz w:val="21"/>
                <w:szCs w:val="21"/>
              </w:rPr>
              <w:t>指挥调度数据管理</w:t>
            </w:r>
            <w:bookmarkEnd w:id="43"/>
          </w:p>
          <w:p w14:paraId="28F33E7F">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融合一体化数字资源系统（IRS）中的应急物资、应急救援队伍、避难场所以及在线监测、视频监控等各类数据，基于GIS一张图，可将各类应急数据在地图上标识，以便用户直观了解其位置分布。支持按照不同类型的应急资源聚合展示，同时支持按照区域实现所有类型应急资源的统一聚合展示。实现与应急叫应系统互联互通，支持向应急叫应系统发送文字信息，并通过应急叫应系统进行播报；处置公共安全险情事件时，支持基于一张图实现应急物资、应急专家、专职应急队伍、社会应急队伍、应急避难场所的高效、可视化指挥调度。</w:t>
            </w:r>
          </w:p>
          <w:p w14:paraId="7385661B">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4.4.3</w:t>
            </w:r>
            <w:bookmarkStart w:id="44" w:name="_Toc29970"/>
            <w:r>
              <w:rPr>
                <w:rFonts w:hint="eastAsia" w:ascii="仿宋" w:hAnsi="仿宋" w:eastAsia="仿宋" w:cs="仿宋"/>
                <w:color w:val="000000"/>
                <w:sz w:val="21"/>
                <w:szCs w:val="21"/>
              </w:rPr>
              <w:t>协同处置数据管理</w:t>
            </w:r>
            <w:bookmarkEnd w:id="44"/>
          </w:p>
          <w:p w14:paraId="30C375D7">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获取险情事件处置全过程中的任务指令数据以及反馈数据，包括任务指令名称、任务指令类型、所属事件、任务详情、派发的部门及人员、任务完成状态、任务反馈详情、任务反馈单位等详情信息。</w:t>
            </w:r>
          </w:p>
          <w:p w14:paraId="70D2501B">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4.4.4应急处置分析</w:t>
            </w:r>
          </w:p>
          <w:p w14:paraId="43E51C0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对获取的所有历史险情事件进行多维分析，包括事件类型分析、事件时间分析、事件处置分析等。</w:t>
            </w:r>
          </w:p>
          <w:p w14:paraId="554B91B8">
            <w:pPr>
              <w:spacing w:line="360" w:lineRule="auto"/>
              <w:rPr>
                <w:rFonts w:hint="eastAsia" w:ascii="仿宋" w:hAnsi="仿宋" w:eastAsia="仿宋" w:cs="仿宋"/>
                <w:color w:val="000000"/>
                <w:sz w:val="21"/>
                <w:szCs w:val="21"/>
                <w:lang w:bidi="ar"/>
              </w:rPr>
            </w:pPr>
          </w:p>
        </w:tc>
        <w:tc>
          <w:tcPr>
            <w:tcW w:w="399" w:type="pct"/>
            <w:noWrap w:val="0"/>
            <w:vAlign w:val="center"/>
          </w:tcPr>
          <w:p w14:paraId="19F0385E">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052EF814">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6C25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7A71B22F">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685" w:type="pct"/>
            <w:noWrap w:val="0"/>
            <w:vAlign w:val="center"/>
          </w:tcPr>
          <w:p w14:paraId="7D5CA5E3">
            <w:pPr>
              <w:widowControl/>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复盘及评估</w:t>
            </w:r>
          </w:p>
        </w:tc>
        <w:tc>
          <w:tcPr>
            <w:tcW w:w="2798" w:type="pct"/>
            <w:noWrap w:val="0"/>
            <w:vAlign w:val="center"/>
          </w:tcPr>
          <w:p w14:paraId="363B726A">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5.1</w:t>
            </w:r>
            <w:bookmarkStart w:id="45" w:name="_Toc31094"/>
            <w:r>
              <w:rPr>
                <w:rFonts w:hint="eastAsia" w:ascii="仿宋" w:hAnsi="仿宋" w:eastAsia="仿宋" w:cs="仿宋"/>
                <w:color w:val="000000"/>
                <w:sz w:val="21"/>
                <w:szCs w:val="21"/>
              </w:rPr>
              <w:t>公共安全事件报告动态生成</w:t>
            </w:r>
            <w:bookmarkEnd w:id="45"/>
          </w:p>
          <w:p w14:paraId="6437FC9E">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具备公共安全分析报告动态生成功能，支持定期对公共安全运行情况进行总结和分析，通过对接入的各行业风险隐患数据、区域风险评估数据、监测报警数据、预警数据、险情事件处置数据等进行统计分析，形成各种图表和报告，包括但不限于日/周/月/年报。</w:t>
            </w:r>
          </w:p>
          <w:p w14:paraId="498E45F4">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5.2</w:t>
            </w:r>
            <w:bookmarkStart w:id="46" w:name="_Toc2038"/>
            <w:r>
              <w:rPr>
                <w:rFonts w:hint="eastAsia" w:ascii="仿宋" w:hAnsi="仿宋" w:eastAsia="仿宋" w:cs="仿宋"/>
                <w:color w:val="000000"/>
                <w:sz w:val="21"/>
                <w:szCs w:val="21"/>
              </w:rPr>
              <w:t>公共安全事故案例在线复盘</w:t>
            </w:r>
            <w:bookmarkEnd w:id="46"/>
            <w:r>
              <w:rPr>
                <w:rFonts w:hint="eastAsia" w:ascii="仿宋" w:hAnsi="仿宋" w:eastAsia="仿宋" w:cs="仿宋"/>
                <w:color w:val="000000"/>
                <w:sz w:val="21"/>
                <w:szCs w:val="21"/>
              </w:rPr>
              <w:t>总结</w:t>
            </w:r>
          </w:p>
          <w:p w14:paraId="6F522419">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根据事件时间的发展顺序，按照时间轴形式生成险情事件的处置节点，并支持对节点的漏项、不完整项进行补充、编辑，生成完整的事件报告。参与险情事件处置的相关单位及人员，对本次事件处置的工作进行总结、评价。</w:t>
            </w:r>
          </w:p>
          <w:p w14:paraId="57701349">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5.3</w:t>
            </w:r>
            <w:bookmarkStart w:id="47" w:name="_Toc4542"/>
            <w:r>
              <w:rPr>
                <w:rFonts w:hint="eastAsia" w:ascii="仿宋" w:hAnsi="仿宋" w:eastAsia="仿宋" w:cs="仿宋"/>
                <w:color w:val="000000"/>
                <w:sz w:val="21"/>
                <w:szCs w:val="21"/>
              </w:rPr>
              <w:t>预案在线优化</w:t>
            </w:r>
            <w:bookmarkEnd w:id="47"/>
          </w:p>
          <w:p w14:paraId="2B1838F0">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提供预案关联查看功能，参与险情处置的行业部门、单位、现场队伍等可查看事件总结报告、事件处置关联的应急预案内容等，并对执行情况进行记录与上报。对各单位上报的预案执行情况数据进行总结，可按照人员、物资、时间等多个维度进行统计，并形成综合完成情况效能结果。具备预案优化功能，可提供给险情事件处置的各委办局、单位等相应权限，可针对具体险情事件协同处置过程启用的应急预案，在线提出建议，进行汇总。</w:t>
            </w:r>
          </w:p>
          <w:p w14:paraId="7FEBE202">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5.4</w:t>
            </w:r>
            <w:bookmarkStart w:id="48" w:name="_Toc25689"/>
            <w:r>
              <w:rPr>
                <w:rFonts w:hint="eastAsia" w:ascii="仿宋" w:hAnsi="仿宋" w:eastAsia="仿宋" w:cs="仿宋"/>
                <w:color w:val="000000"/>
                <w:sz w:val="21"/>
                <w:szCs w:val="21"/>
              </w:rPr>
              <w:t>公共安全事故案例自动归档</w:t>
            </w:r>
            <w:bookmarkEnd w:id="48"/>
          </w:p>
          <w:p w14:paraId="73F2392D">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支持对整理完善的事故案例进行一键归档，形成事故案例列表，并支持对事故案例基本信息进行编辑完善，供相关城市安全管理人员查阅。</w:t>
            </w:r>
          </w:p>
          <w:p w14:paraId="0328849E">
            <w:pPr>
              <w:spacing w:line="360" w:lineRule="auto"/>
              <w:rPr>
                <w:rFonts w:hint="eastAsia" w:ascii="仿宋" w:hAnsi="仿宋" w:eastAsia="仿宋" w:cs="仿宋"/>
                <w:color w:val="000000"/>
                <w:sz w:val="21"/>
                <w:szCs w:val="21"/>
                <w:lang w:bidi="ar"/>
              </w:rPr>
            </w:pPr>
          </w:p>
        </w:tc>
        <w:tc>
          <w:tcPr>
            <w:tcW w:w="399" w:type="pct"/>
            <w:noWrap w:val="0"/>
            <w:vAlign w:val="center"/>
          </w:tcPr>
          <w:p w14:paraId="6C63D321">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0701DFC4">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4D6A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12EF05A4">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685" w:type="pct"/>
            <w:noWrap w:val="0"/>
            <w:vAlign w:val="center"/>
          </w:tcPr>
          <w:p w14:paraId="25BA167F">
            <w:pPr>
              <w:widowControl/>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数字驾驶舱</w:t>
            </w:r>
          </w:p>
        </w:tc>
        <w:tc>
          <w:tcPr>
            <w:tcW w:w="2798" w:type="pct"/>
            <w:noWrap w:val="0"/>
            <w:vAlign w:val="center"/>
          </w:tcPr>
          <w:p w14:paraId="07801B9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6.1</w:t>
            </w:r>
            <w:bookmarkStart w:id="49" w:name="_Toc26121"/>
            <w:r>
              <w:rPr>
                <w:rFonts w:hint="eastAsia" w:ascii="仿宋" w:hAnsi="仿宋" w:eastAsia="仿宋" w:cs="仿宋"/>
                <w:color w:val="000000"/>
                <w:sz w:val="21"/>
                <w:szCs w:val="21"/>
              </w:rPr>
              <w:t>公共安全总览驾驶舱</w:t>
            </w:r>
            <w:bookmarkEnd w:id="49"/>
          </w:p>
          <w:p w14:paraId="2C78AAE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共安全总览态势分析可查看在数据看板上，展示渝中区公共安全领域行业风险隐患及管控处置情况、监测报警及处置情况、平台预警及处置情况、险情事件及处置情况的统计分析结果及区域风险评估结果。结合区域风险评估模型（区域风险评估算法模型、区域耦合分析算法模型、风险衍生分析算法模型、大客流趋势预测算法模型）以一张图的形式呈现渝中区公共安全运行态势，选择不同区</w:t>
            </w:r>
            <w:bookmarkStart w:id="50" w:name="OLE_LINK35"/>
            <w:r>
              <w:rPr>
                <w:rFonts w:hint="eastAsia" w:ascii="仿宋" w:hAnsi="仿宋" w:eastAsia="仿宋" w:cs="仿宋"/>
                <w:color w:val="000000"/>
                <w:sz w:val="21"/>
                <w:szCs w:val="21"/>
              </w:rPr>
              <w:t>域</w:t>
            </w:r>
            <w:bookmarkEnd w:id="50"/>
            <w:r>
              <w:rPr>
                <w:rFonts w:hint="eastAsia" w:ascii="仿宋" w:hAnsi="仿宋" w:eastAsia="仿宋" w:cs="仿宋"/>
                <w:color w:val="000000"/>
                <w:sz w:val="21"/>
                <w:szCs w:val="21"/>
              </w:rPr>
              <w:t>进行筛选，显示对应区域的安全态势情况。</w:t>
            </w:r>
          </w:p>
          <w:p w14:paraId="229470E8">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利用GIS一张图展示各类数据资源，包括渝中区公共安全领域相关的危险源、防护目标、重点基础设施、应急资源、风险隐患、监测对象及监测设备、预警事件等信息，支持数据资源目录点选，相关信息在地图落点展示，点击可显示数据详情信息。包括关键指标展示、总览态势分析（</w:t>
            </w:r>
            <w:bookmarkStart w:id="51" w:name="_Toc10631"/>
            <w:r>
              <w:rPr>
                <w:rFonts w:hint="eastAsia" w:ascii="仿宋" w:hAnsi="仿宋" w:eastAsia="仿宋" w:cs="仿宋"/>
                <w:color w:val="000000"/>
                <w:sz w:val="21"/>
                <w:szCs w:val="21"/>
              </w:rPr>
              <w:t>大客流安全态势分析</w:t>
            </w:r>
            <w:bookmarkEnd w:id="51"/>
            <w:r>
              <w:rPr>
                <w:rFonts w:hint="eastAsia" w:ascii="仿宋" w:hAnsi="仿宋" w:eastAsia="仿宋" w:cs="仿宋"/>
                <w:color w:val="000000"/>
                <w:sz w:val="21"/>
                <w:szCs w:val="21"/>
              </w:rPr>
              <w:t>、</w:t>
            </w:r>
            <w:bookmarkStart w:id="52" w:name="_Toc26595"/>
            <w:r>
              <w:rPr>
                <w:rFonts w:hint="eastAsia" w:ascii="仿宋" w:hAnsi="仿宋" w:eastAsia="仿宋" w:cs="仿宋"/>
                <w:color w:val="000000"/>
                <w:sz w:val="21"/>
                <w:szCs w:val="21"/>
              </w:rPr>
              <w:t>消防安全态势分析</w:t>
            </w:r>
            <w:bookmarkEnd w:id="52"/>
            <w:r>
              <w:rPr>
                <w:rFonts w:hint="eastAsia" w:ascii="仿宋" w:hAnsi="仿宋" w:eastAsia="仿宋" w:cs="仿宋"/>
                <w:color w:val="000000"/>
                <w:sz w:val="21"/>
                <w:szCs w:val="21"/>
              </w:rPr>
              <w:t>、</w:t>
            </w:r>
            <w:bookmarkStart w:id="53" w:name="_Toc21255"/>
            <w:r>
              <w:rPr>
                <w:rFonts w:hint="eastAsia" w:ascii="仿宋" w:hAnsi="仿宋" w:eastAsia="仿宋" w:cs="仿宋"/>
                <w:color w:val="000000"/>
                <w:sz w:val="21"/>
                <w:szCs w:val="21"/>
              </w:rPr>
              <w:t>电梯安全态势分析</w:t>
            </w:r>
            <w:bookmarkEnd w:id="53"/>
            <w:r>
              <w:rPr>
                <w:rFonts w:hint="eastAsia" w:ascii="仿宋" w:hAnsi="仿宋" w:eastAsia="仿宋" w:cs="仿宋"/>
                <w:color w:val="000000"/>
                <w:sz w:val="21"/>
                <w:szCs w:val="21"/>
              </w:rPr>
              <w:t>、</w:t>
            </w:r>
            <w:bookmarkStart w:id="54" w:name="_Toc25826"/>
            <w:r>
              <w:rPr>
                <w:rFonts w:hint="eastAsia" w:ascii="仿宋" w:hAnsi="仿宋" w:eastAsia="仿宋" w:cs="仿宋"/>
                <w:color w:val="000000"/>
                <w:sz w:val="21"/>
                <w:szCs w:val="21"/>
              </w:rPr>
              <w:t>交通安全态势分析</w:t>
            </w:r>
            <w:bookmarkEnd w:id="54"/>
            <w:r>
              <w:rPr>
                <w:rFonts w:hint="eastAsia" w:ascii="仿宋" w:hAnsi="仿宋" w:eastAsia="仿宋" w:cs="仿宋"/>
                <w:color w:val="000000"/>
                <w:sz w:val="21"/>
                <w:szCs w:val="21"/>
              </w:rPr>
              <w:t>、</w:t>
            </w:r>
            <w:bookmarkStart w:id="55" w:name="_Toc9136"/>
            <w:r>
              <w:rPr>
                <w:rFonts w:hint="eastAsia" w:ascii="仿宋" w:hAnsi="仿宋" w:eastAsia="仿宋" w:cs="仿宋"/>
                <w:color w:val="000000"/>
                <w:sz w:val="21"/>
                <w:szCs w:val="21"/>
              </w:rPr>
              <w:t>建筑安全态势分析</w:t>
            </w:r>
            <w:bookmarkEnd w:id="55"/>
            <w:r>
              <w:rPr>
                <w:rFonts w:hint="eastAsia" w:ascii="仿宋" w:hAnsi="仿宋" w:eastAsia="仿宋" w:cs="仿宋"/>
                <w:color w:val="000000"/>
                <w:sz w:val="21"/>
                <w:szCs w:val="21"/>
              </w:rPr>
              <w:t>）、指挥作战区、特色应用展示和安全事故应急预警联动。</w:t>
            </w:r>
          </w:p>
          <w:p w14:paraId="64AE28D5">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6.2</w:t>
            </w:r>
            <w:bookmarkStart w:id="56" w:name="_Toc8517"/>
            <w:r>
              <w:rPr>
                <w:rFonts w:hint="eastAsia" w:ascii="仿宋" w:hAnsi="仿宋" w:eastAsia="仿宋" w:cs="仿宋"/>
                <w:color w:val="000000"/>
                <w:sz w:val="21"/>
                <w:szCs w:val="21"/>
              </w:rPr>
              <w:t>高层建筑消防安全驾驶舱</w:t>
            </w:r>
            <w:bookmarkEnd w:id="56"/>
          </w:p>
          <w:p w14:paraId="15F28D63">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消防安全驾驶舱汇聚消防重点单位、消防设施、消防监测设备、消防风险点、消防隐患、消防设备监测和消防报警等高层建筑火灾相关数据，基于数据看板，对海量消防数据的快速处理和分析，并讲数据分析结果通过直观的图表和仪表板进行展示，来提高消防安全管理的效率和效果。通过集成多种先进技术和子系统，实现消防数据的实时监控、分析和决策支持。</w:t>
            </w:r>
          </w:p>
          <w:p w14:paraId="1B5AD596">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6.3城市电梯运行安全驾驶舱</w:t>
            </w:r>
          </w:p>
          <w:p w14:paraId="1E626C99">
            <w:pPr>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电梯安全驾驶舱汇聚在用电梯、电梯维保、电梯检验、电梯风险、电梯隐患、电梯遇见记录和电梯维保记录等电梯运行相关数据，基于物联网、大数据、云计算等前沿技术，通过GIS地图、实时监控、预警提示等手段，以及对历史运行数据的统计分析，为电梯的维护保养提供科学依据，实现对电梯运行状态的全面掌控。</w:t>
            </w:r>
          </w:p>
          <w:p w14:paraId="7F3EED96">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6.4</w:t>
            </w:r>
            <w:bookmarkStart w:id="57" w:name="_Toc6890"/>
            <w:r>
              <w:rPr>
                <w:rFonts w:hint="eastAsia" w:ascii="仿宋" w:hAnsi="仿宋" w:eastAsia="仿宋" w:cs="仿宋"/>
                <w:color w:val="000000"/>
                <w:sz w:val="21"/>
                <w:szCs w:val="21"/>
              </w:rPr>
              <w:t>大客流安全驾驶舱</w:t>
            </w:r>
            <w:bookmarkEnd w:id="57"/>
          </w:p>
          <w:p w14:paraId="426828EA">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汇聚旅游景点、景区客流量、大客流风险点、大客流隐患点、大客流超限报警和大客流超限报警处置等大客流相关数据，结合数据看板呈现城市电梯运行的旅游景区数、旅游景区客流量、大客流风险数、大客流隐患数、大客流超限报警数和大客流超限报警处置数等内容。</w:t>
            </w:r>
          </w:p>
          <w:p w14:paraId="75D0D5F7">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6.5</w:t>
            </w:r>
            <w:bookmarkStart w:id="58" w:name="_Toc17527"/>
            <w:r>
              <w:rPr>
                <w:rFonts w:hint="eastAsia" w:ascii="仿宋" w:hAnsi="仿宋" w:eastAsia="仿宋" w:cs="仿宋"/>
                <w:color w:val="000000"/>
                <w:sz w:val="21"/>
                <w:szCs w:val="21"/>
              </w:rPr>
              <w:t>重点车辆运输安全驾驶舱</w:t>
            </w:r>
            <w:bookmarkEnd w:id="58"/>
          </w:p>
          <w:p w14:paraId="2905E5EC">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汇聚旅游包车车辆、长途客运车辆、危险品运输车辆、车辆运输企业、驾驶员、重点车辆风险点、重点车辆隐患点、重点车辆运输报警和重点车辆运输报警处置等重点车辆运输相关数据，结合数据看板呈现城市“两客一危”重点运输车辆相关的运输企业数、重点运输车辆数、重点运输车辆在线数、重点运输车辆风险数、重点运输车辆隐患数、重点运输车辆报警数等内容。</w:t>
            </w:r>
          </w:p>
          <w:p w14:paraId="332816A6">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6.6</w:t>
            </w:r>
            <w:bookmarkStart w:id="59" w:name="_Toc7888"/>
            <w:r>
              <w:rPr>
                <w:rFonts w:hint="eastAsia" w:ascii="仿宋" w:hAnsi="仿宋" w:eastAsia="仿宋" w:cs="仿宋"/>
                <w:color w:val="000000"/>
                <w:sz w:val="21"/>
                <w:szCs w:val="21"/>
              </w:rPr>
              <w:t>老旧房屋安全驾驶舱</w:t>
            </w:r>
            <w:bookmarkEnd w:id="59"/>
          </w:p>
          <w:p w14:paraId="38CA984F">
            <w:pPr>
              <w:autoSpaceDE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基于数据看板，展示老旧危房数、老旧危房风险数、老旧危房隐患数、老旧危房监测数、老旧危房报警数等老旧房屋信息。基于GIS一张图，实现跟地图联动，以图层形式全面展示，帮助监管人员查看和分析老旧危房风险隐患分布、报警分布及基础设施分布等，以便更好地了解老旧危房安全整体态势。</w:t>
            </w:r>
          </w:p>
          <w:p w14:paraId="18ED734A">
            <w:pPr>
              <w:spacing w:line="360" w:lineRule="auto"/>
              <w:rPr>
                <w:rFonts w:hint="eastAsia" w:ascii="仿宋" w:hAnsi="仿宋" w:eastAsia="仿宋" w:cs="仿宋"/>
                <w:color w:val="000000"/>
                <w:sz w:val="21"/>
                <w:szCs w:val="21"/>
                <w:lang w:bidi="ar"/>
              </w:rPr>
            </w:pPr>
          </w:p>
        </w:tc>
        <w:tc>
          <w:tcPr>
            <w:tcW w:w="399" w:type="pct"/>
            <w:noWrap w:val="0"/>
            <w:vAlign w:val="center"/>
          </w:tcPr>
          <w:p w14:paraId="287B76F2">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0B1EC9BD">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3B2E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2D07E861">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685" w:type="pct"/>
            <w:noWrap w:val="0"/>
            <w:vAlign w:val="center"/>
          </w:tcPr>
          <w:p w14:paraId="5F3198B3">
            <w:pPr>
              <w:widowControl/>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系统管理</w:t>
            </w:r>
          </w:p>
        </w:tc>
        <w:tc>
          <w:tcPr>
            <w:tcW w:w="2798" w:type="pct"/>
            <w:noWrap w:val="0"/>
            <w:vAlign w:val="center"/>
          </w:tcPr>
          <w:p w14:paraId="2D1742BF">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7.1用户管理</w:t>
            </w:r>
          </w:p>
          <w:p w14:paraId="316A94F0">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依托一体化数字资源系统（IRS），接入能力组件库的用户体系信息。以组织结构为展示目录管理用户，用户管理主要包含用户姓名、角色、职务、联系电话等基础信息，功能包括用户列表、用户查询、用户新增和修改等。</w:t>
            </w:r>
          </w:p>
          <w:p w14:paraId="0023E9D9">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7.2角色管理</w:t>
            </w:r>
          </w:p>
          <w:p w14:paraId="6E949CE2">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角色是系统权限控制的重要组成部分，通过给用户分配角色，再给角色分配权限的流程，对系统用户、角色、权限进行管理，包括角色权限的分配、查看、修改配置功能。</w:t>
            </w:r>
          </w:p>
          <w:p w14:paraId="4BD40DE6">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7.3权限管理</w:t>
            </w:r>
          </w:p>
          <w:p w14:paraId="2E9A2764">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为平台各应用系统提供统一的权限控制服务，按照部门、角色、岗位等多维度对数据访问，数据下载和应用功能进行划分和控制，通过给用户分配角色，再给角色分配权限的流程，区分应用边界，保障系统应用安全。</w:t>
            </w:r>
          </w:p>
          <w:p w14:paraId="25C8EF1F">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7.4组织管理</w:t>
            </w:r>
          </w:p>
          <w:p w14:paraId="3530C840">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依托一体化数字资源系统（IRS），接入能力组件库的组织架构信息。以组织树的形式对部门组织进行管理。功能包括组织的添加、编辑、删除及移动功能。</w:t>
            </w:r>
          </w:p>
          <w:p w14:paraId="2BD22C8B">
            <w:pPr>
              <w:spacing w:line="360" w:lineRule="auto"/>
              <w:rPr>
                <w:rFonts w:hint="eastAsia" w:ascii="仿宋" w:hAnsi="仿宋" w:eastAsia="仿宋" w:cs="仿宋"/>
                <w:color w:val="000000"/>
                <w:sz w:val="21"/>
                <w:szCs w:val="21"/>
                <w:lang w:bidi="ar"/>
              </w:rPr>
            </w:pPr>
          </w:p>
        </w:tc>
        <w:tc>
          <w:tcPr>
            <w:tcW w:w="399" w:type="pct"/>
            <w:noWrap w:val="0"/>
            <w:vAlign w:val="center"/>
          </w:tcPr>
          <w:p w14:paraId="6A7C2C9C">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76C2913C">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64DA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172480B1">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685" w:type="pct"/>
            <w:noWrap w:val="0"/>
            <w:vAlign w:val="center"/>
          </w:tcPr>
          <w:p w14:paraId="5729A858">
            <w:pPr>
              <w:autoSpaceDE w:val="0"/>
              <w:snapToGrid w:val="0"/>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对接要求</w:t>
            </w:r>
          </w:p>
        </w:tc>
        <w:tc>
          <w:tcPr>
            <w:tcW w:w="2798" w:type="pct"/>
            <w:noWrap w:val="0"/>
            <w:vAlign w:val="center"/>
          </w:tcPr>
          <w:p w14:paraId="5AF11AE2">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基于三级治理中心，实现与市、区县、其他部门形成多跨协同体系。本应用中涉及的相关事项协同办理时，运用三级治理中心与本系统事项分办办理机制，对相关事项进行分办办理，同时本应用将同步获取跨部门事项办理过程和结果数据，为本应用的复盘评估提供相关数据支撑。</w:t>
            </w:r>
          </w:p>
          <w:p w14:paraId="47FD868C">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8.1渝快政对接</w:t>
            </w:r>
          </w:p>
          <w:p w14:paraId="1E055E55">
            <w:pPr>
              <w:autoSpaceDE w:val="0"/>
              <w:snapToGrid w:val="0"/>
              <w:spacing w:line="360" w:lineRule="auto"/>
              <w:ind w:firstLine="420" w:firstLineChars="2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遵照数字重庆建设相关规范要求，将基于渝快政平台统一入口、用户基础能力，数据加密处理策略保证数据的安全性，实现快速部署、便捷应用。通过调用渝快政提供的单点登录能力、组织架构、用户体系，实现与公共安全智控整体用户、权限对接，各级业务单位可通过渝快政工作台对应入口免登进入。</w:t>
            </w:r>
          </w:p>
          <w:p w14:paraId="0B8EB9A5">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8.2 算法模型对接</w:t>
            </w:r>
          </w:p>
          <w:p w14:paraId="45F1FAD0">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bidi="ar"/>
              </w:rPr>
              <w:t>对接算法模型提供的</w:t>
            </w:r>
            <w:r>
              <w:rPr>
                <w:rFonts w:hint="eastAsia" w:ascii="仿宋" w:hAnsi="仿宋" w:eastAsia="仿宋" w:cs="仿宋"/>
                <w:color w:val="000000"/>
                <w:sz w:val="21"/>
                <w:szCs w:val="21"/>
                <w:lang w:bidi="ar"/>
              </w:rPr>
              <w:t>标准化API服务</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利用现代智能化技术，</w:t>
            </w:r>
            <w:r>
              <w:rPr>
                <w:rFonts w:hint="eastAsia" w:ascii="仿宋" w:hAnsi="仿宋" w:eastAsia="仿宋" w:cs="仿宋"/>
                <w:color w:val="000000"/>
                <w:sz w:val="21"/>
                <w:szCs w:val="21"/>
              </w:rPr>
              <w:t>将数据转化为智能决策和预测能力</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提高业务管控效率</w:t>
            </w:r>
            <w:r>
              <w:rPr>
                <w:rFonts w:hint="eastAsia" w:ascii="仿宋" w:hAnsi="仿宋" w:eastAsia="仿宋" w:cs="仿宋"/>
                <w:color w:val="000000"/>
                <w:sz w:val="21"/>
                <w:szCs w:val="21"/>
                <w:lang w:eastAsia="zh-CN"/>
              </w:rPr>
              <w:t>。</w:t>
            </w:r>
          </w:p>
          <w:p w14:paraId="35D70F73">
            <w:pPr>
              <w:spacing w:line="360" w:lineRule="auto"/>
              <w:rPr>
                <w:rFonts w:hint="eastAsia" w:ascii="仿宋" w:hAnsi="仿宋" w:eastAsia="仿宋" w:cs="仿宋"/>
                <w:color w:val="000000"/>
                <w:sz w:val="21"/>
                <w:szCs w:val="21"/>
                <w:lang w:bidi="ar"/>
              </w:rPr>
            </w:pPr>
          </w:p>
        </w:tc>
        <w:tc>
          <w:tcPr>
            <w:tcW w:w="399" w:type="pct"/>
            <w:noWrap w:val="0"/>
            <w:vAlign w:val="center"/>
          </w:tcPr>
          <w:p w14:paraId="41E09003">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67653957">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14:paraId="2402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0" w:type="pct"/>
            <w:noWrap/>
            <w:vAlign w:val="center"/>
          </w:tcPr>
          <w:p w14:paraId="6DC2B7D6">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685" w:type="pct"/>
            <w:noWrap w:val="0"/>
            <w:vAlign w:val="center"/>
          </w:tcPr>
          <w:p w14:paraId="6B39BB89">
            <w:pPr>
              <w:autoSpaceDE w:val="0"/>
              <w:snapToGrid w:val="0"/>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数据资源建设</w:t>
            </w:r>
          </w:p>
          <w:p w14:paraId="0710EE62">
            <w:pPr>
              <w:widowControl/>
              <w:spacing w:line="360" w:lineRule="auto"/>
              <w:jc w:val="center"/>
              <w:rPr>
                <w:rFonts w:hint="eastAsia" w:ascii="仿宋" w:hAnsi="仿宋" w:eastAsia="仿宋" w:cs="仿宋"/>
                <w:color w:val="000000"/>
                <w:sz w:val="21"/>
                <w:szCs w:val="21"/>
              </w:rPr>
            </w:pPr>
          </w:p>
        </w:tc>
        <w:tc>
          <w:tcPr>
            <w:tcW w:w="2798" w:type="pct"/>
            <w:noWrap w:val="0"/>
            <w:vAlign w:val="center"/>
          </w:tcPr>
          <w:p w14:paraId="327EC7FD">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9.1数据资源治理</w:t>
            </w:r>
          </w:p>
          <w:p w14:paraId="4462F170">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针对IRS接入数据，将依据数据质量标准进行清洗，剔除不符合使用要求的错误数据、残缺数据等无效信息。清洗后的数据将结合公共安全智控业务的实际需求，进行深度加工处理，包括数据关联、数据融合及数据统计等操作，从而生成具备更丰富分析维度与统计指标的高质量数据，为业务决策提供有力支撑。</w:t>
            </w:r>
          </w:p>
          <w:p w14:paraId="677153FD">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9.2数据资源建库</w:t>
            </w:r>
          </w:p>
          <w:p w14:paraId="321690D7">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资源库对原始库数据进行清洗、标准化及轻度整合，形成全量数据的持久化存储层。资源库对外支持数据的分类检索、轨迹碰撞，以及明细数据的统计、分析、比对、推送、订阅等服务。</w:t>
            </w:r>
          </w:p>
          <w:p w14:paraId="515D4F5F">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9.3专题库建设</w:t>
            </w:r>
          </w:p>
          <w:p w14:paraId="315638F4">
            <w:pPr>
              <w:autoSpaceDE w:val="0"/>
              <w:snapToGrid w:val="0"/>
              <w:spacing w:line="360" w:lineRule="auto"/>
              <w:ind w:firstLine="420" w:firstLineChars="200"/>
              <w:jc w:val="left"/>
              <w:textAlignment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建设公共安全联防联控库专题库，围绕公共安全风险隐患感知辨识、公共安全隐患整治、公共安全险情预警告警、公共安全险情多跨协同处置、公共安全复盘及评估等板块进行分层模型设计，通过数据采集、处理、存储、管理、应用等层次的架构，对公共安全联防联控库专题库的接入数据进行加工处理，推送展示数据到可视化系统，以条形图、柱状图、统计图、分布图、空间图、组态图、二/三维态势地图等为表现形式，实现公共安全联防联控库专题库的应用效果可视化呈现，并能对公共安全联防联控库应用数据进行集中管理、数据分类展示和通过IRS进行数据共享。数据包含但不限于：包括风险数据表、应急避难场所记录表、物资储备库记录表、水位及水位测站数据表、隐患信息数据表、隐患整改清单信息表、舆情信息表、预案信息表、政府专职和企事业专职消防队数据表、“两客一危”车辆基本信息表及重点车辆安全检测信息表、电梯基本信息表及电梯安全检测信息表、老旧危房基本信息表及老旧危房安全检测信息表、高层建筑基本信息表及高层建筑安全检测信息表等数据。</w:t>
            </w:r>
          </w:p>
        </w:tc>
        <w:tc>
          <w:tcPr>
            <w:tcW w:w="399" w:type="pct"/>
            <w:noWrap w:val="0"/>
            <w:vAlign w:val="center"/>
          </w:tcPr>
          <w:p w14:paraId="22C38BB6">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套</w:t>
            </w:r>
          </w:p>
        </w:tc>
        <w:tc>
          <w:tcPr>
            <w:tcW w:w="716" w:type="pct"/>
            <w:noWrap/>
            <w:vAlign w:val="center"/>
          </w:tcPr>
          <w:p w14:paraId="3AFD3B1A">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bl>
    <w:p w14:paraId="48D2D2E1">
      <w:pPr>
        <w:jc w:val="left"/>
        <w:rPr>
          <w:rFonts w:hint="default" w:ascii="宋体" w:hAnsi="宋体"/>
          <w:b/>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0611326-8A1F-4531-A791-5861A84D20A7}"/>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5A613913-5C25-46C4-9E2C-9518C676643F}"/>
  </w:font>
  <w:font w:name="方正仿宋_GB18030">
    <w:altName w:val="仿宋"/>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8EB53068-BE2A-4AF1-9FB2-BE11336BEA7F}"/>
  </w:font>
  <w:font w:name="方正黑体_GBK">
    <w:panose1 w:val="03000509000000000000"/>
    <w:charset w:val="86"/>
    <w:family w:val="script"/>
    <w:pitch w:val="default"/>
    <w:sig w:usb0="00000001" w:usb1="080E0000" w:usb2="00000000" w:usb3="00000000" w:csb0="00040000" w:csb1="00000000"/>
    <w:embedRegular r:id="rId4" w:fontKey="{53DD1E8F-E6E1-4709-A312-443D3AAF15B2}"/>
  </w:font>
  <w:font w:name="MingLiU">
    <w:altName w:val="PMingLiU-ExtB"/>
    <w:panose1 w:val="02020509000000000000"/>
    <w:charset w:val="88"/>
    <w:family w:val="modern"/>
    <w:pitch w:val="default"/>
    <w:sig w:usb0="00000000" w:usb1="00000000" w:usb2="00000016" w:usb3="00000000" w:csb0="00100001" w:csb1="00000000"/>
    <w:embedRegular r:id="rId5" w:fontKey="{7D1DC4C9-1438-4772-B6CB-38D234DC46D4}"/>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04A07"/>
    <w:multiLevelType w:val="multilevel"/>
    <w:tmpl w:val="44604A07"/>
    <w:lvl w:ilvl="0" w:tentative="0">
      <w:start w:val="1"/>
      <w:numFmt w:val="japaneseCounting"/>
      <w:lvlText w:val="（%1）"/>
      <w:lvlJc w:val="left"/>
      <w:pPr>
        <w:ind w:left="1585" w:hanging="945"/>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MTI2MWZiOTJjNjA1NGE5MzI0OTdlZDAwY2RmM2YifQ=="/>
    <w:docVar w:name="KSO_WPS_MARK_KEY" w:val="25e30516-0113-45d2-8cb9-35bed4041f3c"/>
  </w:docVars>
  <w:rsids>
    <w:rsidRoot w:val="00FC3AE0"/>
    <w:rsid w:val="00004370"/>
    <w:rsid w:val="00020174"/>
    <w:rsid w:val="00032C6B"/>
    <w:rsid w:val="000406E1"/>
    <w:rsid w:val="000421A4"/>
    <w:rsid w:val="000518F8"/>
    <w:rsid w:val="00061C4E"/>
    <w:rsid w:val="00081468"/>
    <w:rsid w:val="00081658"/>
    <w:rsid w:val="00081E6C"/>
    <w:rsid w:val="000938C1"/>
    <w:rsid w:val="00096276"/>
    <w:rsid w:val="000A0CC0"/>
    <w:rsid w:val="000B0830"/>
    <w:rsid w:val="000C0BE4"/>
    <w:rsid w:val="000C68C7"/>
    <w:rsid w:val="000E114A"/>
    <w:rsid w:val="000F5A15"/>
    <w:rsid w:val="00104C63"/>
    <w:rsid w:val="00120F8B"/>
    <w:rsid w:val="0012341C"/>
    <w:rsid w:val="00147AFE"/>
    <w:rsid w:val="00191AC8"/>
    <w:rsid w:val="001B4796"/>
    <w:rsid w:val="001E023E"/>
    <w:rsid w:val="001E7F2A"/>
    <w:rsid w:val="00230217"/>
    <w:rsid w:val="00231979"/>
    <w:rsid w:val="00242ED3"/>
    <w:rsid w:val="00247D3C"/>
    <w:rsid w:val="0025158B"/>
    <w:rsid w:val="0025775D"/>
    <w:rsid w:val="00260026"/>
    <w:rsid w:val="00272B68"/>
    <w:rsid w:val="00274D31"/>
    <w:rsid w:val="00276D14"/>
    <w:rsid w:val="00282F52"/>
    <w:rsid w:val="00293F6A"/>
    <w:rsid w:val="00297E9F"/>
    <w:rsid w:val="00302274"/>
    <w:rsid w:val="00311B2F"/>
    <w:rsid w:val="00321397"/>
    <w:rsid w:val="003271D7"/>
    <w:rsid w:val="0035050A"/>
    <w:rsid w:val="003533E8"/>
    <w:rsid w:val="00361E33"/>
    <w:rsid w:val="00393544"/>
    <w:rsid w:val="003D164C"/>
    <w:rsid w:val="003E3F54"/>
    <w:rsid w:val="003F4E89"/>
    <w:rsid w:val="004142D8"/>
    <w:rsid w:val="00414E5F"/>
    <w:rsid w:val="00416CBB"/>
    <w:rsid w:val="004213B2"/>
    <w:rsid w:val="004235AC"/>
    <w:rsid w:val="00430373"/>
    <w:rsid w:val="004329F5"/>
    <w:rsid w:val="00446286"/>
    <w:rsid w:val="0046101D"/>
    <w:rsid w:val="00461F62"/>
    <w:rsid w:val="00475060"/>
    <w:rsid w:val="00477F54"/>
    <w:rsid w:val="00492DCB"/>
    <w:rsid w:val="00493360"/>
    <w:rsid w:val="0049614D"/>
    <w:rsid w:val="00496AC9"/>
    <w:rsid w:val="004A126B"/>
    <w:rsid w:val="004D1C32"/>
    <w:rsid w:val="004D7929"/>
    <w:rsid w:val="004E0767"/>
    <w:rsid w:val="004E429C"/>
    <w:rsid w:val="004F49CF"/>
    <w:rsid w:val="0050452A"/>
    <w:rsid w:val="00517332"/>
    <w:rsid w:val="00530F6D"/>
    <w:rsid w:val="005319D6"/>
    <w:rsid w:val="00542122"/>
    <w:rsid w:val="0054422C"/>
    <w:rsid w:val="00545C61"/>
    <w:rsid w:val="005526AC"/>
    <w:rsid w:val="00557381"/>
    <w:rsid w:val="00577DEB"/>
    <w:rsid w:val="005804AA"/>
    <w:rsid w:val="005910B0"/>
    <w:rsid w:val="005B7960"/>
    <w:rsid w:val="005C1C6E"/>
    <w:rsid w:val="005C4296"/>
    <w:rsid w:val="005D3651"/>
    <w:rsid w:val="005F5E61"/>
    <w:rsid w:val="00613888"/>
    <w:rsid w:val="006239C0"/>
    <w:rsid w:val="006267B8"/>
    <w:rsid w:val="00630E31"/>
    <w:rsid w:val="0063523C"/>
    <w:rsid w:val="006710C8"/>
    <w:rsid w:val="00681238"/>
    <w:rsid w:val="006822AB"/>
    <w:rsid w:val="00684F55"/>
    <w:rsid w:val="006A3F79"/>
    <w:rsid w:val="006B2A18"/>
    <w:rsid w:val="006D1EEE"/>
    <w:rsid w:val="006D7FE4"/>
    <w:rsid w:val="006E0941"/>
    <w:rsid w:val="006E1933"/>
    <w:rsid w:val="0070239D"/>
    <w:rsid w:val="00725200"/>
    <w:rsid w:val="00757609"/>
    <w:rsid w:val="00764AF5"/>
    <w:rsid w:val="007832B0"/>
    <w:rsid w:val="0078634D"/>
    <w:rsid w:val="00794419"/>
    <w:rsid w:val="00796635"/>
    <w:rsid w:val="007B0882"/>
    <w:rsid w:val="007B755E"/>
    <w:rsid w:val="007C056A"/>
    <w:rsid w:val="007C2C01"/>
    <w:rsid w:val="007C2E24"/>
    <w:rsid w:val="007D0C87"/>
    <w:rsid w:val="007D7CA6"/>
    <w:rsid w:val="007E2403"/>
    <w:rsid w:val="007F249B"/>
    <w:rsid w:val="007F2C94"/>
    <w:rsid w:val="00803786"/>
    <w:rsid w:val="00804834"/>
    <w:rsid w:val="008123D2"/>
    <w:rsid w:val="00816891"/>
    <w:rsid w:val="00823D9A"/>
    <w:rsid w:val="00833FB7"/>
    <w:rsid w:val="00836640"/>
    <w:rsid w:val="00857F88"/>
    <w:rsid w:val="0086770F"/>
    <w:rsid w:val="008705C5"/>
    <w:rsid w:val="0087267F"/>
    <w:rsid w:val="00872FAD"/>
    <w:rsid w:val="008879F8"/>
    <w:rsid w:val="008B64F1"/>
    <w:rsid w:val="008D2267"/>
    <w:rsid w:val="008E2555"/>
    <w:rsid w:val="008E6BAA"/>
    <w:rsid w:val="008F5AFB"/>
    <w:rsid w:val="00910886"/>
    <w:rsid w:val="00927B06"/>
    <w:rsid w:val="00942BB2"/>
    <w:rsid w:val="00953804"/>
    <w:rsid w:val="00955A92"/>
    <w:rsid w:val="009963D0"/>
    <w:rsid w:val="009A03ED"/>
    <w:rsid w:val="009A4A9F"/>
    <w:rsid w:val="009B5560"/>
    <w:rsid w:val="009B6B14"/>
    <w:rsid w:val="009D126A"/>
    <w:rsid w:val="009D1CD3"/>
    <w:rsid w:val="009D3D31"/>
    <w:rsid w:val="009F294B"/>
    <w:rsid w:val="00A030DD"/>
    <w:rsid w:val="00A03A6A"/>
    <w:rsid w:val="00A2396C"/>
    <w:rsid w:val="00A23D00"/>
    <w:rsid w:val="00A37C4E"/>
    <w:rsid w:val="00A6029B"/>
    <w:rsid w:val="00A733AC"/>
    <w:rsid w:val="00A90061"/>
    <w:rsid w:val="00A913CD"/>
    <w:rsid w:val="00A939BC"/>
    <w:rsid w:val="00A93DDB"/>
    <w:rsid w:val="00A95D8C"/>
    <w:rsid w:val="00AC49E9"/>
    <w:rsid w:val="00AC77F1"/>
    <w:rsid w:val="00AD06CE"/>
    <w:rsid w:val="00AE17AF"/>
    <w:rsid w:val="00AE2C4A"/>
    <w:rsid w:val="00AE624D"/>
    <w:rsid w:val="00AF07F9"/>
    <w:rsid w:val="00AF4012"/>
    <w:rsid w:val="00AF4EDA"/>
    <w:rsid w:val="00AF5AEE"/>
    <w:rsid w:val="00B03B4F"/>
    <w:rsid w:val="00B12F34"/>
    <w:rsid w:val="00B22B9B"/>
    <w:rsid w:val="00B2451E"/>
    <w:rsid w:val="00B368EB"/>
    <w:rsid w:val="00B5282D"/>
    <w:rsid w:val="00B721EC"/>
    <w:rsid w:val="00B74938"/>
    <w:rsid w:val="00B85554"/>
    <w:rsid w:val="00B959E0"/>
    <w:rsid w:val="00BC4EDA"/>
    <w:rsid w:val="00BC7D74"/>
    <w:rsid w:val="00BD110B"/>
    <w:rsid w:val="00BE3B30"/>
    <w:rsid w:val="00C13A0E"/>
    <w:rsid w:val="00C27088"/>
    <w:rsid w:val="00C3165E"/>
    <w:rsid w:val="00C413E5"/>
    <w:rsid w:val="00C4280A"/>
    <w:rsid w:val="00C454B2"/>
    <w:rsid w:val="00C54980"/>
    <w:rsid w:val="00C741B7"/>
    <w:rsid w:val="00C9271B"/>
    <w:rsid w:val="00C95FB7"/>
    <w:rsid w:val="00CA0591"/>
    <w:rsid w:val="00CA40F6"/>
    <w:rsid w:val="00CA47E9"/>
    <w:rsid w:val="00CB468A"/>
    <w:rsid w:val="00CE34BA"/>
    <w:rsid w:val="00CF0CB7"/>
    <w:rsid w:val="00CF0DFB"/>
    <w:rsid w:val="00D00031"/>
    <w:rsid w:val="00D030AD"/>
    <w:rsid w:val="00D054E4"/>
    <w:rsid w:val="00D15CCB"/>
    <w:rsid w:val="00D16D55"/>
    <w:rsid w:val="00D23F2D"/>
    <w:rsid w:val="00D24A69"/>
    <w:rsid w:val="00D258D9"/>
    <w:rsid w:val="00DB2A7C"/>
    <w:rsid w:val="00DB6E44"/>
    <w:rsid w:val="00DC3002"/>
    <w:rsid w:val="00E000BE"/>
    <w:rsid w:val="00E11025"/>
    <w:rsid w:val="00E12848"/>
    <w:rsid w:val="00E22F92"/>
    <w:rsid w:val="00E265E5"/>
    <w:rsid w:val="00E41CFE"/>
    <w:rsid w:val="00E54E74"/>
    <w:rsid w:val="00E572F3"/>
    <w:rsid w:val="00E57C82"/>
    <w:rsid w:val="00E6289B"/>
    <w:rsid w:val="00E8684A"/>
    <w:rsid w:val="00EB06CD"/>
    <w:rsid w:val="00ED1F8B"/>
    <w:rsid w:val="00ED47B4"/>
    <w:rsid w:val="00EE3D24"/>
    <w:rsid w:val="00EE578E"/>
    <w:rsid w:val="00EE6A4B"/>
    <w:rsid w:val="00EF28A4"/>
    <w:rsid w:val="00EF59DE"/>
    <w:rsid w:val="00EF5D99"/>
    <w:rsid w:val="00F16565"/>
    <w:rsid w:val="00F247AF"/>
    <w:rsid w:val="00F320B5"/>
    <w:rsid w:val="00F33C36"/>
    <w:rsid w:val="00F37BF8"/>
    <w:rsid w:val="00F46ADC"/>
    <w:rsid w:val="00F546C1"/>
    <w:rsid w:val="00F55C2D"/>
    <w:rsid w:val="00F77C9F"/>
    <w:rsid w:val="00F90D3D"/>
    <w:rsid w:val="00FA11F6"/>
    <w:rsid w:val="00FA2F78"/>
    <w:rsid w:val="00FC1DAA"/>
    <w:rsid w:val="00FC3AE0"/>
    <w:rsid w:val="00FE0A46"/>
    <w:rsid w:val="00FF3A33"/>
    <w:rsid w:val="02AA1A84"/>
    <w:rsid w:val="03804C18"/>
    <w:rsid w:val="042D13E6"/>
    <w:rsid w:val="0444316A"/>
    <w:rsid w:val="04A2015D"/>
    <w:rsid w:val="059D25AD"/>
    <w:rsid w:val="06631CC5"/>
    <w:rsid w:val="07745C2A"/>
    <w:rsid w:val="08B03E69"/>
    <w:rsid w:val="08C553ED"/>
    <w:rsid w:val="09B75968"/>
    <w:rsid w:val="0A3B6BE9"/>
    <w:rsid w:val="0C6E69EE"/>
    <w:rsid w:val="11464BB6"/>
    <w:rsid w:val="12113088"/>
    <w:rsid w:val="15B64A89"/>
    <w:rsid w:val="17867785"/>
    <w:rsid w:val="18B30A11"/>
    <w:rsid w:val="190E24E6"/>
    <w:rsid w:val="1ACE4623"/>
    <w:rsid w:val="1BE53786"/>
    <w:rsid w:val="1CFF3C36"/>
    <w:rsid w:val="1D547064"/>
    <w:rsid w:val="1FA45952"/>
    <w:rsid w:val="1FE946D3"/>
    <w:rsid w:val="24ED5DE8"/>
    <w:rsid w:val="25D82BCA"/>
    <w:rsid w:val="25FD7B6A"/>
    <w:rsid w:val="265C29D1"/>
    <w:rsid w:val="270401D5"/>
    <w:rsid w:val="272F5B93"/>
    <w:rsid w:val="274B6DD8"/>
    <w:rsid w:val="28FE3909"/>
    <w:rsid w:val="293D49B7"/>
    <w:rsid w:val="2B5F36A9"/>
    <w:rsid w:val="2C542B53"/>
    <w:rsid w:val="2CDD5871"/>
    <w:rsid w:val="2CE101E6"/>
    <w:rsid w:val="2D90100E"/>
    <w:rsid w:val="2EE01B75"/>
    <w:rsid w:val="2F4A29C0"/>
    <w:rsid w:val="336D0928"/>
    <w:rsid w:val="339215C8"/>
    <w:rsid w:val="34786272"/>
    <w:rsid w:val="36D44917"/>
    <w:rsid w:val="37437A8B"/>
    <w:rsid w:val="3A086C25"/>
    <w:rsid w:val="3A090C19"/>
    <w:rsid w:val="3D8F1598"/>
    <w:rsid w:val="3F6B2EDB"/>
    <w:rsid w:val="3F73CB93"/>
    <w:rsid w:val="408F5EAA"/>
    <w:rsid w:val="42DD6AC5"/>
    <w:rsid w:val="42E63A08"/>
    <w:rsid w:val="43633F8D"/>
    <w:rsid w:val="43D901B0"/>
    <w:rsid w:val="446F71BC"/>
    <w:rsid w:val="45286B27"/>
    <w:rsid w:val="4740402F"/>
    <w:rsid w:val="4B8C7625"/>
    <w:rsid w:val="4C9C42C9"/>
    <w:rsid w:val="4D13771F"/>
    <w:rsid w:val="4E2D7F79"/>
    <w:rsid w:val="50A82C45"/>
    <w:rsid w:val="510B436D"/>
    <w:rsid w:val="52D51D51"/>
    <w:rsid w:val="54814E00"/>
    <w:rsid w:val="548B3222"/>
    <w:rsid w:val="55AD6590"/>
    <w:rsid w:val="56D43F5D"/>
    <w:rsid w:val="58D7601D"/>
    <w:rsid w:val="5A604A46"/>
    <w:rsid w:val="5DE81CA0"/>
    <w:rsid w:val="5EBD39ED"/>
    <w:rsid w:val="5F021772"/>
    <w:rsid w:val="614957FD"/>
    <w:rsid w:val="61905265"/>
    <w:rsid w:val="668A09CB"/>
    <w:rsid w:val="66A02C7C"/>
    <w:rsid w:val="678D4AFE"/>
    <w:rsid w:val="68BE3BC0"/>
    <w:rsid w:val="69F620C4"/>
    <w:rsid w:val="6C90289E"/>
    <w:rsid w:val="6CB43382"/>
    <w:rsid w:val="6F467FA5"/>
    <w:rsid w:val="71043660"/>
    <w:rsid w:val="71463FBF"/>
    <w:rsid w:val="71B27028"/>
    <w:rsid w:val="74E53270"/>
    <w:rsid w:val="750202C6"/>
    <w:rsid w:val="75D1743B"/>
    <w:rsid w:val="760D49BA"/>
    <w:rsid w:val="783E3AD1"/>
    <w:rsid w:val="78A102B4"/>
    <w:rsid w:val="7A906B9E"/>
    <w:rsid w:val="7C1425D1"/>
    <w:rsid w:val="7CA8270B"/>
    <w:rsid w:val="7DFE5C17"/>
    <w:rsid w:val="7E5E47BF"/>
    <w:rsid w:val="7F0F056F"/>
    <w:rsid w:val="7F71277D"/>
    <w:rsid w:val="FEA8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semiHidden/>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25"/>
    <w:qFormat/>
    <w:uiPriority w:val="0"/>
    <w:rPr>
      <w:rFonts w:ascii="宋体" w:hAnsi="Courier New" w:eastAsia="宋体" w:cs="Times New Roman"/>
      <w:kern w:val="0"/>
      <w:sz w:val="20"/>
      <w:lang w:val="zh-CN"/>
    </w:rPr>
  </w:style>
  <w:style w:type="paragraph" w:styleId="6">
    <w:name w:val="Date"/>
    <w:basedOn w:val="1"/>
    <w:next w:val="1"/>
    <w:link w:val="30"/>
    <w:qFormat/>
    <w:uiPriority w:val="0"/>
    <w:pPr>
      <w:ind w:left="100" w:leftChars="2500"/>
    </w:pPr>
  </w:style>
  <w:style w:type="paragraph" w:styleId="7">
    <w:name w:val="Balloon Text"/>
    <w:basedOn w:val="1"/>
    <w:link w:val="29"/>
    <w:unhideWhenUsed/>
    <w:qFormat/>
    <w:uiPriority w:val="0"/>
    <w:rPr>
      <w:rFonts w:ascii="Times New Roman" w:hAnsi="Times New Roman" w:eastAsia="仿宋_GB2312" w:cs="Times New Roman"/>
      <w:snapToGrid w:val="0"/>
      <w:kern w:val="0"/>
      <w:sz w:val="18"/>
      <w:szCs w:val="18"/>
      <w:lang w:val="zh-C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2"/>
    <w:qFormat/>
    <w:uiPriority w:val="0"/>
    <w:pPr>
      <w:spacing w:after="120" w:line="480" w:lineRule="auto"/>
    </w:pPr>
  </w:style>
  <w:style w:type="paragraph" w:styleId="11">
    <w:name w:val="Body Text First Indent"/>
    <w:basedOn w:val="3"/>
    <w:link w:val="24"/>
    <w:semiHidden/>
    <w:unhideWhenUsed/>
    <w:qFormat/>
    <w:uiPriority w:val="99"/>
    <w:pPr>
      <w:ind w:firstLine="420" w:firstLineChars="100"/>
    </w:pPr>
  </w:style>
  <w:style w:type="paragraph" w:styleId="12">
    <w:name w:val="Body Text First Indent 2"/>
    <w:basedOn w:val="1"/>
    <w:next w:val="1"/>
    <w:link w:val="21"/>
    <w:qFormat/>
    <w:uiPriority w:val="0"/>
    <w:pPr>
      <w:spacing w:after="120"/>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页眉 Char"/>
    <w:basedOn w:val="15"/>
    <w:link w:val="9"/>
    <w:qFormat/>
    <w:uiPriority w:val="0"/>
    <w:rPr>
      <w:sz w:val="18"/>
      <w:szCs w:val="18"/>
    </w:rPr>
  </w:style>
  <w:style w:type="character" w:customStyle="1" w:styleId="19">
    <w:name w:val="页脚 Char"/>
    <w:basedOn w:val="15"/>
    <w:link w:val="8"/>
    <w:qFormat/>
    <w:uiPriority w:val="99"/>
    <w:rPr>
      <w:sz w:val="18"/>
      <w:szCs w:val="18"/>
    </w:rPr>
  </w:style>
  <w:style w:type="character" w:customStyle="1" w:styleId="20">
    <w:name w:val="正文文本缩进 Char"/>
    <w:basedOn w:val="15"/>
    <w:link w:val="4"/>
    <w:semiHidden/>
    <w:qFormat/>
    <w:uiPriority w:val="99"/>
    <w:rPr>
      <w:szCs w:val="24"/>
    </w:rPr>
  </w:style>
  <w:style w:type="character" w:customStyle="1" w:styleId="21">
    <w:name w:val="正文首行缩进 2 Char"/>
    <w:basedOn w:val="20"/>
    <w:link w:val="12"/>
    <w:qFormat/>
    <w:uiPriority w:val="0"/>
    <w:rPr>
      <w:szCs w:val="24"/>
    </w:rPr>
  </w:style>
  <w:style w:type="paragraph" w:styleId="22">
    <w:name w:val="List Paragraph"/>
    <w:basedOn w:val="1"/>
    <w:qFormat/>
    <w:uiPriority w:val="0"/>
    <w:pPr>
      <w:ind w:firstLine="420" w:firstLineChars="200"/>
    </w:pPr>
  </w:style>
  <w:style w:type="character" w:customStyle="1" w:styleId="23">
    <w:name w:val="正文文本 Char"/>
    <w:basedOn w:val="15"/>
    <w:link w:val="3"/>
    <w:semiHidden/>
    <w:qFormat/>
    <w:uiPriority w:val="99"/>
    <w:rPr>
      <w:szCs w:val="24"/>
    </w:rPr>
  </w:style>
  <w:style w:type="character" w:customStyle="1" w:styleId="24">
    <w:name w:val="正文首行缩进 Char"/>
    <w:basedOn w:val="23"/>
    <w:link w:val="11"/>
    <w:semiHidden/>
    <w:qFormat/>
    <w:uiPriority w:val="99"/>
    <w:rPr>
      <w:szCs w:val="24"/>
    </w:rPr>
  </w:style>
  <w:style w:type="character" w:customStyle="1" w:styleId="25">
    <w:name w:val="纯文本 Char"/>
    <w:basedOn w:val="15"/>
    <w:link w:val="5"/>
    <w:qFormat/>
    <w:uiPriority w:val="0"/>
    <w:rPr>
      <w:rFonts w:ascii="宋体" w:hAnsi="Courier New" w:eastAsia="宋体" w:cs="Times New Roman"/>
      <w:kern w:val="0"/>
      <w:sz w:val="20"/>
      <w:szCs w:val="24"/>
      <w:lang w:val="zh-CN" w:eastAsia="zh-CN"/>
    </w:rPr>
  </w:style>
  <w:style w:type="paragraph" w:customStyle="1" w:styleId="26">
    <w:name w:val="默认段落字体 Para Char Char Char Char Char Char Char Char Char Char"/>
    <w:basedOn w:val="1"/>
    <w:qFormat/>
    <w:uiPriority w:val="0"/>
    <w:rPr>
      <w:rFonts w:ascii="Arial" w:hAnsi="Arial" w:eastAsia="宋体" w:cs="Arial"/>
      <w:sz w:val="20"/>
      <w:szCs w:val="20"/>
    </w:rPr>
  </w:style>
  <w:style w:type="paragraph" w:customStyle="1" w:styleId="27">
    <w:name w:val="列出段落1"/>
    <w:basedOn w:val="1"/>
    <w:unhideWhenUsed/>
    <w:qFormat/>
    <w:uiPriority w:val="99"/>
    <w:pPr>
      <w:ind w:firstLine="420" w:firstLineChars="200"/>
    </w:pPr>
    <w:rPr>
      <w:rFonts w:ascii="Times New Roman" w:hAnsi="Times New Roman" w:eastAsia="宋体" w:cs="Times New Roman"/>
    </w:rPr>
  </w:style>
  <w:style w:type="table" w:customStyle="1" w:styleId="28">
    <w:name w:val="网格型1"/>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框文本 Char"/>
    <w:basedOn w:val="15"/>
    <w:link w:val="7"/>
    <w:qFormat/>
    <w:uiPriority w:val="0"/>
    <w:rPr>
      <w:rFonts w:ascii="Times New Roman" w:hAnsi="Times New Roman" w:eastAsia="仿宋_GB2312" w:cs="Times New Roman"/>
      <w:snapToGrid w:val="0"/>
      <w:kern w:val="0"/>
      <w:sz w:val="18"/>
      <w:szCs w:val="18"/>
      <w:lang w:val="zh-CN" w:eastAsia="zh-CN"/>
    </w:rPr>
  </w:style>
  <w:style w:type="character" w:customStyle="1" w:styleId="30">
    <w:name w:val="日期 Char"/>
    <w:link w:val="6"/>
    <w:qFormat/>
    <w:uiPriority w:val="0"/>
    <w:rPr>
      <w:szCs w:val="24"/>
    </w:rPr>
  </w:style>
  <w:style w:type="character" w:customStyle="1" w:styleId="31">
    <w:name w:val="批注框文本 Char1"/>
    <w:semiHidden/>
    <w:qFormat/>
    <w:uiPriority w:val="99"/>
    <w:rPr>
      <w:kern w:val="2"/>
      <w:sz w:val="18"/>
      <w:szCs w:val="18"/>
    </w:rPr>
  </w:style>
  <w:style w:type="character" w:customStyle="1" w:styleId="32">
    <w:name w:val="正文文本 2 Char"/>
    <w:link w:val="10"/>
    <w:qFormat/>
    <w:uiPriority w:val="0"/>
    <w:rPr>
      <w:szCs w:val="24"/>
    </w:rPr>
  </w:style>
  <w:style w:type="character" w:customStyle="1" w:styleId="33">
    <w:name w:val="页眉 Char1"/>
    <w:semiHidden/>
    <w:qFormat/>
    <w:uiPriority w:val="99"/>
    <w:rPr>
      <w:kern w:val="2"/>
      <w:sz w:val="18"/>
      <w:szCs w:val="18"/>
    </w:rPr>
  </w:style>
  <w:style w:type="character" w:customStyle="1" w:styleId="34">
    <w:name w:val="正文文本 2 Char1"/>
    <w:basedOn w:val="15"/>
    <w:semiHidden/>
    <w:qFormat/>
    <w:uiPriority w:val="99"/>
    <w:rPr>
      <w:szCs w:val="24"/>
    </w:rPr>
  </w:style>
  <w:style w:type="character" w:customStyle="1" w:styleId="35">
    <w:name w:val="页脚 Char1"/>
    <w:semiHidden/>
    <w:qFormat/>
    <w:uiPriority w:val="99"/>
    <w:rPr>
      <w:kern w:val="2"/>
      <w:sz w:val="18"/>
      <w:szCs w:val="18"/>
    </w:rPr>
  </w:style>
  <w:style w:type="character" w:customStyle="1" w:styleId="36">
    <w:name w:val="纯文本 Char1"/>
    <w:semiHidden/>
    <w:qFormat/>
    <w:uiPriority w:val="99"/>
    <w:rPr>
      <w:rFonts w:ascii="宋体" w:hAnsi="Courier New" w:cs="Courier New"/>
      <w:kern w:val="2"/>
      <w:sz w:val="21"/>
      <w:szCs w:val="21"/>
    </w:rPr>
  </w:style>
  <w:style w:type="character" w:customStyle="1" w:styleId="37">
    <w:name w:val="日期 Char1"/>
    <w:basedOn w:val="15"/>
    <w:semiHidden/>
    <w:qFormat/>
    <w:uiPriority w:val="99"/>
    <w:rPr>
      <w:szCs w:val="24"/>
    </w:rPr>
  </w:style>
  <w:style w:type="character" w:customStyle="1" w:styleId="38">
    <w:name w:val="批注框文本 Char2"/>
    <w:semiHidden/>
    <w:qFormat/>
    <w:uiPriority w:val="99"/>
    <w:rPr>
      <w:kern w:val="2"/>
      <w:sz w:val="18"/>
      <w:szCs w:val="18"/>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0">
    <w:name w:val="Char Char1"/>
    <w:basedOn w:val="1"/>
    <w:qFormat/>
    <w:uiPriority w:val="0"/>
    <w:rPr>
      <w:rFonts w:ascii="Arial" w:hAnsi="Arial" w:eastAsia="宋体" w:cs="Arial"/>
      <w:sz w:val="20"/>
      <w:szCs w:val="20"/>
    </w:rPr>
  </w:style>
  <w:style w:type="character" w:customStyle="1" w:styleId="41">
    <w:name w:val="font12"/>
    <w:basedOn w:val="15"/>
    <w:qFormat/>
    <w:uiPriority w:val="0"/>
    <w:rPr>
      <w:rFonts w:hint="eastAsia" w:ascii="方正仿宋_GBK" w:hAnsi="方正仿宋_GBK" w:eastAsia="方正仿宋_GBK" w:cs="方正仿宋_GBK"/>
      <w:b/>
      <w:bCs/>
      <w:color w:val="000000"/>
      <w:sz w:val="28"/>
      <w:szCs w:val="28"/>
      <w:u w:val="none"/>
    </w:rPr>
  </w:style>
  <w:style w:type="character" w:customStyle="1" w:styleId="42">
    <w:name w:val="font111"/>
    <w:basedOn w:val="15"/>
    <w:qFormat/>
    <w:uiPriority w:val="0"/>
    <w:rPr>
      <w:rFonts w:hint="default" w:ascii="Times New Roman" w:hAnsi="Times New Roman" w:cs="Times New Roman"/>
      <w:b/>
      <w:bCs/>
      <w:color w:val="000000"/>
      <w:sz w:val="28"/>
      <w:szCs w:val="28"/>
      <w:u w:val="none"/>
    </w:rPr>
  </w:style>
  <w:style w:type="character" w:customStyle="1" w:styleId="43">
    <w:name w:val="font11"/>
    <w:basedOn w:val="15"/>
    <w:qFormat/>
    <w:uiPriority w:val="0"/>
    <w:rPr>
      <w:rFonts w:hint="default" w:ascii="方正仿宋_GB18030" w:hAnsi="方正仿宋_GB18030" w:eastAsia="方正仿宋_GB18030" w:cs="方正仿宋_GB18030"/>
      <w:b/>
      <w:bCs/>
      <w:color w:val="000000"/>
      <w:sz w:val="18"/>
      <w:szCs w:val="18"/>
      <w:u w:val="none"/>
    </w:rPr>
  </w:style>
  <w:style w:type="character" w:customStyle="1" w:styleId="44">
    <w:name w:val="font21"/>
    <w:basedOn w:val="15"/>
    <w:qFormat/>
    <w:uiPriority w:val="0"/>
    <w:rPr>
      <w:rFonts w:hint="default" w:ascii="方正仿宋_GB18030" w:hAnsi="方正仿宋_GB18030" w:eastAsia="方正仿宋_GB18030" w:cs="方正仿宋_GB18030"/>
      <w:color w:val="000000"/>
      <w:sz w:val="18"/>
      <w:szCs w:val="18"/>
      <w:u w:val="none"/>
    </w:rPr>
  </w:style>
  <w:style w:type="character" w:customStyle="1" w:styleId="45">
    <w:name w:val="font3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contoso</Company>
  <Pages>32</Pages>
  <Words>15376</Words>
  <Characters>15814</Characters>
  <Lines>6</Lines>
  <Paragraphs>1</Paragraphs>
  <TotalTime>12</TotalTime>
  <ScaleCrop>false</ScaleCrop>
  <LinksUpToDate>false</LinksUpToDate>
  <CharactersWithSpaces>16060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2024-11-13T17:57:00Z</dcterms:created>
  <dc:creator>Windows 用户</dc:creator>
  <cp:lastModifiedBy>joylove35</cp:lastModifiedBy>
  <cp:lastPrinted>2025-05-28T09:38:00Z</cp:lastPrinted>
  <dcterms:modified xsi:type="dcterms:W3CDTF">2025-07-21T02:33:53Z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5E982D8F54E6483EABC89998E8F02D8C_13</vt:lpwstr>
  </property>
  <property fmtid="{D5CDD505-2E9C-101B-9397-08002B2CF9AE}" pid="4" name="KSOTemplateDocerSaveRecord">
    <vt:lpwstr>eyJoZGlkIjoiNTQ5MTI2MWZiOTJjNjA1NGE5MzI0OTdlZDAwY2RmM2YiLCJ1c2VySWQiOiI4NzI4NDU1MDcifQ==</vt:lpwstr>
  </property>
</Properties>
</file>