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EFE19">
      <w:pPr>
        <w:jc w:val="center"/>
        <w:rPr>
          <w:rFonts w:ascii="方正小标宋_GBK" w:hAnsi="宋体" w:eastAsia="方正小标宋_GBK"/>
          <w:color w:val="auto"/>
          <w:sz w:val="36"/>
          <w:szCs w:val="36"/>
        </w:rPr>
      </w:pPr>
      <w:r>
        <w:rPr>
          <w:rFonts w:hint="eastAsia" w:ascii="方正小标宋_GBK" w:hAnsi="宋体" w:eastAsia="方正小标宋_GBK"/>
          <w:color w:val="auto"/>
          <w:sz w:val="36"/>
          <w:szCs w:val="36"/>
        </w:rPr>
        <w:t>投</w:t>
      </w:r>
      <w:r>
        <w:rPr>
          <w:rFonts w:ascii="方正小标宋_GBK" w:hAnsi="宋体" w:eastAsia="方正小标宋_GBK"/>
          <w:color w:val="auto"/>
          <w:sz w:val="36"/>
          <w:szCs w:val="36"/>
        </w:rPr>
        <w:t>标人</w:t>
      </w:r>
      <w:r>
        <w:rPr>
          <w:rFonts w:hint="eastAsia" w:ascii="方正小标宋_GBK" w:hAnsi="宋体" w:eastAsia="方正小标宋_GBK"/>
          <w:color w:val="auto"/>
          <w:sz w:val="36"/>
          <w:szCs w:val="36"/>
        </w:rPr>
        <w:t>须</w:t>
      </w:r>
      <w:r>
        <w:rPr>
          <w:rFonts w:ascii="方正小标宋_GBK" w:hAnsi="宋体" w:eastAsia="方正小标宋_GBK"/>
          <w:color w:val="auto"/>
          <w:sz w:val="36"/>
          <w:szCs w:val="36"/>
        </w:rPr>
        <w:t>知</w:t>
      </w:r>
    </w:p>
    <w:p w14:paraId="27CAF503">
      <w:pPr>
        <w:ind w:firstLine="3960" w:firstLineChars="1100"/>
        <w:rPr>
          <w:rFonts w:ascii="方正小标宋_GBK" w:hAnsi="宋体" w:eastAsia="方正小标宋_GBK"/>
          <w:color w:val="auto"/>
          <w:sz w:val="36"/>
          <w:szCs w:val="36"/>
        </w:rPr>
      </w:pPr>
    </w:p>
    <w:p w14:paraId="4B0B9007">
      <w:pPr>
        <w:keepNext w:val="0"/>
        <w:keepLines w:val="0"/>
        <w:pageBreakBefore w:val="0"/>
        <w:kinsoku/>
        <w:wordWrap/>
        <w:overflowPunct/>
        <w:topLinePunct w:val="0"/>
        <w:autoSpaceDE/>
        <w:autoSpaceDN/>
        <w:bidi w:val="0"/>
        <w:adjustRightInd/>
        <w:spacing w:line="594" w:lineRule="exact"/>
        <w:ind w:firstLine="643" w:firstLineChars="200"/>
        <w:jc w:val="both"/>
        <w:textAlignment w:val="auto"/>
        <w:rPr>
          <w:rFonts w:hint="eastAsia" w:ascii="方正黑体_GBK" w:hAnsi="方正黑体_GBK" w:eastAsia="方正黑体_GBK" w:cs="方正黑体_GBK"/>
          <w:b/>
          <w:color w:val="auto"/>
          <w:sz w:val="32"/>
          <w:szCs w:val="32"/>
        </w:rPr>
      </w:pPr>
      <w:r>
        <w:rPr>
          <w:rFonts w:hint="eastAsia" w:ascii="方正黑体_GBK" w:hAnsi="方正黑体_GBK" w:eastAsia="方正黑体_GBK" w:cs="方正黑体_GBK"/>
          <w:b/>
          <w:color w:val="auto"/>
          <w:sz w:val="32"/>
          <w:szCs w:val="32"/>
          <w:lang w:val="en-US" w:eastAsia="zh-CN"/>
        </w:rPr>
        <w:t>一</w:t>
      </w:r>
      <w:r>
        <w:rPr>
          <w:rFonts w:hint="eastAsia" w:ascii="方正黑体_GBK" w:hAnsi="方正黑体_GBK" w:eastAsia="方正黑体_GBK" w:cs="方正黑体_GBK"/>
          <w:b/>
          <w:color w:val="auto"/>
          <w:sz w:val="32"/>
          <w:szCs w:val="32"/>
        </w:rPr>
        <w:t>、项目基本情况</w:t>
      </w:r>
    </w:p>
    <w:p w14:paraId="16790E41">
      <w:pPr>
        <w:ind w:firstLine="480" w:firstLineChars="150"/>
        <w:jc w:val="left"/>
        <w:rPr>
          <w:rFonts w:hint="default" w:ascii="方正仿宋_GBK" w:hAnsi="方正仿宋_GBK" w:eastAsia="方正仿宋_GBK" w:cs="方正仿宋_GBK"/>
          <w:color w:val="auto"/>
          <w:sz w:val="32"/>
          <w:szCs w:val="32"/>
          <w:u w:val="single"/>
          <w:lang w:val="en-US"/>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rPr>
        <w:t>项目名称：</w:t>
      </w:r>
      <w:r>
        <w:rPr>
          <w:rFonts w:hint="eastAsia" w:ascii="方正仿宋_GBK" w:hAnsi="方正仿宋_GBK" w:eastAsia="方正仿宋_GBK" w:cs="方正仿宋_GBK"/>
          <w:color w:val="auto"/>
          <w:sz w:val="32"/>
          <w:szCs w:val="32"/>
          <w:u w:val="single"/>
          <w:lang w:val="en-US" w:eastAsia="zh-CN"/>
        </w:rPr>
        <w:t>九龙现代</w:t>
      </w:r>
      <w:r>
        <w:rPr>
          <w:rFonts w:hint="eastAsia" w:ascii="方正仿宋_GBK" w:hAnsi="方正仿宋_GBK" w:eastAsia="方正仿宋_GBK" w:cs="方正仿宋_GBK"/>
          <w:color w:val="auto"/>
          <w:sz w:val="32"/>
          <w:szCs w:val="32"/>
          <w:u w:val="single"/>
        </w:rPr>
        <w:t>产业集团2025年网络安全运维服务</w:t>
      </w:r>
    </w:p>
    <w:p w14:paraId="02C51E3B">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二）</w:t>
      </w:r>
      <w:r>
        <w:rPr>
          <w:rFonts w:hint="eastAsia" w:ascii="方正仿宋_GBK" w:hAnsi="方正仿宋_GBK" w:eastAsia="方正仿宋_GBK" w:cs="方正仿宋_GBK"/>
          <w:color w:val="auto"/>
          <w:sz w:val="32"/>
          <w:szCs w:val="32"/>
        </w:rPr>
        <w:t>招标人：重庆九龙现代</w:t>
      </w:r>
      <w:r>
        <w:rPr>
          <w:rFonts w:hint="eastAsia" w:ascii="方正仿宋_GBK" w:hAnsi="方正仿宋_GBK" w:eastAsia="方正仿宋_GBK" w:cs="方正仿宋_GBK"/>
          <w:color w:val="auto"/>
          <w:sz w:val="32"/>
          <w:szCs w:val="32"/>
          <w:lang w:val="en-US" w:eastAsia="zh-CN"/>
        </w:rPr>
        <w:t>数字科技有限公司</w:t>
      </w:r>
      <w:r>
        <w:rPr>
          <w:rFonts w:hint="eastAsia" w:ascii="方正仿宋_GBK" w:hAnsi="方正仿宋_GBK" w:eastAsia="方正仿宋_GBK" w:cs="方正仿宋_GBK"/>
          <w:color w:val="auto"/>
          <w:sz w:val="32"/>
          <w:szCs w:val="32"/>
        </w:rPr>
        <w:t>。</w:t>
      </w:r>
    </w:p>
    <w:p w14:paraId="5413431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三）</w:t>
      </w:r>
      <w:r>
        <w:rPr>
          <w:rFonts w:hint="eastAsia" w:ascii="方正仿宋_GBK" w:hAnsi="方正仿宋_GBK" w:eastAsia="方正仿宋_GBK" w:cs="方正仿宋_GBK"/>
          <w:color w:val="auto"/>
          <w:sz w:val="32"/>
          <w:szCs w:val="32"/>
        </w:rPr>
        <w:t>项目概况：</w:t>
      </w:r>
      <w:r>
        <w:rPr>
          <w:rFonts w:hint="eastAsia" w:ascii="Times New Roman" w:hAnsi="Times New Roman" w:eastAsia="方正仿宋_GBK"/>
          <w:color w:val="000000"/>
          <w:sz w:val="32"/>
          <w:szCs w:val="32"/>
          <w:lang w:eastAsia="zh-CN"/>
        </w:rPr>
        <w:t>九龙现代产业集团需要对</w:t>
      </w:r>
      <w:r>
        <w:rPr>
          <w:rFonts w:hint="eastAsia" w:ascii="Times New Roman" w:hAnsi="Times New Roman" w:eastAsia="方正仿宋_GBK"/>
          <w:color w:val="000000"/>
          <w:sz w:val="32"/>
          <w:szCs w:val="32"/>
        </w:rPr>
        <w:t>龙客在线</w:t>
      </w:r>
      <w:r>
        <w:rPr>
          <w:rFonts w:hint="eastAsia" w:ascii="Times New Roman" w:hAnsi="Times New Roman" w:eastAsia="方正仿宋_GBK"/>
          <w:color w:val="000000"/>
          <w:sz w:val="32"/>
          <w:szCs w:val="32"/>
          <w:lang w:eastAsia="zh-CN"/>
        </w:rPr>
        <w:t>系统、集团网络门户、集团电子大屏（两块）进行日常安全维护。</w:t>
      </w:r>
      <w:r>
        <w:rPr>
          <w:rFonts w:hint="eastAsia" w:ascii="Times New Roman" w:hAnsi="Times New Roman" w:eastAsia="方正仿宋_GBK"/>
          <w:color w:val="000000"/>
          <w:sz w:val="32"/>
          <w:szCs w:val="32"/>
          <w:lang w:val="en-US" w:eastAsia="zh-CN"/>
        </w:rPr>
        <w:t>一是在网络安全服务工作中以</w:t>
      </w:r>
      <w:r>
        <w:rPr>
          <w:rFonts w:hint="eastAsia" w:ascii="方正仿宋_GBK" w:hAnsi="方正仿宋_GBK" w:eastAsia="方正仿宋_GBK" w:cs="方正仿宋_GBK"/>
          <w:b w:val="0"/>
          <w:bCs w:val="0"/>
          <w:sz w:val="30"/>
          <w:szCs w:val="30"/>
        </w:rPr>
        <w:t>网络</w:t>
      </w:r>
      <w:r>
        <w:rPr>
          <w:rFonts w:hint="eastAsia" w:ascii="方正仿宋_GBK" w:hAnsi="方正仿宋_GBK" w:eastAsia="方正仿宋_GBK" w:cs="方正仿宋_GBK"/>
          <w:b w:val="0"/>
          <w:bCs w:val="0"/>
          <w:sz w:val="30"/>
          <w:szCs w:val="30"/>
          <w:lang w:val="en-US" w:eastAsia="zh-CN"/>
        </w:rPr>
        <w:t>资产梳理及规划服务</w:t>
      </w:r>
      <w:r>
        <w:rPr>
          <w:rFonts w:hint="eastAsia" w:ascii="Times New Roman" w:hAnsi="Times New Roman" w:eastAsia="方正仿宋_GBK"/>
          <w:color w:val="000000"/>
          <w:sz w:val="32"/>
          <w:szCs w:val="32"/>
          <w:lang w:eastAsia="zh-CN"/>
        </w:rPr>
        <w:t>、</w:t>
      </w:r>
      <w:r>
        <w:rPr>
          <w:rFonts w:hint="eastAsia" w:ascii="方正仿宋_GBK" w:hAnsi="方正仿宋_GBK" w:eastAsia="方正仿宋_GBK" w:cs="方正仿宋_GBK"/>
          <w:b w:val="0"/>
          <w:bCs w:val="0"/>
          <w:sz w:val="30"/>
          <w:szCs w:val="30"/>
          <w:lang w:val="en-US" w:eastAsia="zh-CN"/>
        </w:rPr>
        <w:t>安全基线核查服务、网络风险评估服务、网络安全巡检服务、扫描渗透服务、</w:t>
      </w:r>
      <w:r>
        <w:rPr>
          <w:rFonts w:hint="eastAsia" w:ascii="方正仿宋_GBK" w:hAnsi="方正仿宋_GBK" w:eastAsia="方正仿宋_GBK" w:cs="方正仿宋_GBK"/>
          <w:b w:val="0"/>
          <w:bCs w:val="0"/>
          <w:sz w:val="30"/>
          <w:szCs w:val="30"/>
        </w:rPr>
        <w:t>安全</w:t>
      </w:r>
      <w:r>
        <w:rPr>
          <w:rFonts w:hint="eastAsia" w:ascii="方正仿宋_GBK" w:hAnsi="方正仿宋_GBK" w:eastAsia="方正仿宋_GBK" w:cs="方正仿宋_GBK"/>
          <w:b w:val="0"/>
          <w:bCs w:val="0"/>
          <w:sz w:val="30"/>
          <w:szCs w:val="30"/>
          <w:lang w:val="en-US" w:eastAsia="zh-CN"/>
        </w:rPr>
        <w:t>加固服务、</w:t>
      </w:r>
      <w:r>
        <w:rPr>
          <w:rFonts w:hint="eastAsia" w:ascii="方正仿宋_GBK" w:hAnsi="方正仿宋_GBK" w:eastAsia="方正仿宋_GBK" w:cs="方正仿宋_GBK"/>
          <w:b w:val="0"/>
          <w:bCs w:val="0"/>
          <w:sz w:val="30"/>
          <w:szCs w:val="30"/>
        </w:rPr>
        <w:t>应急演练</w:t>
      </w:r>
      <w:r>
        <w:rPr>
          <w:rFonts w:hint="eastAsia" w:ascii="方正仿宋_GBK" w:hAnsi="方正仿宋_GBK" w:eastAsia="方正仿宋_GBK" w:cs="方正仿宋_GBK"/>
          <w:b w:val="0"/>
          <w:bCs w:val="0"/>
          <w:sz w:val="30"/>
          <w:szCs w:val="30"/>
          <w:lang w:val="en-US" w:eastAsia="zh-CN"/>
        </w:rPr>
        <w:t>服务、网络安全监测服务、应急响应服务、下属集团合规检查、信息与网络安全管理平台</w:t>
      </w:r>
      <w:r>
        <w:rPr>
          <w:rFonts w:hint="eastAsia" w:ascii="方正仿宋_GBK" w:hAnsi="方正仿宋_GBK" w:eastAsia="方正仿宋_GBK" w:cs="方正仿宋_GBK"/>
          <w:kern w:val="0"/>
          <w:sz w:val="30"/>
          <w:szCs w:val="30"/>
          <w:lang w:val="en-US" w:eastAsia="zh-CN"/>
        </w:rPr>
        <w:t>运维服务为抓手，实现集团网络安全“人防”技术支撑。二是健全完善集团的网络安全基础设施，部署</w:t>
      </w:r>
      <w:r>
        <w:rPr>
          <w:rFonts w:hint="eastAsia" w:ascii="方正仿宋_GBK" w:hAnsi="方正仿宋_GBK" w:eastAsia="方正仿宋_GBK" w:cs="方正仿宋_GBK"/>
          <w:kern w:val="0"/>
          <w:sz w:val="30"/>
          <w:szCs w:val="30"/>
          <w:lang w:val="en-US" w:eastAsia="zh-CN" w:bidi="ar"/>
        </w:rPr>
        <w:t>国产化防火墙设备、</w:t>
      </w:r>
      <w:r>
        <w:rPr>
          <w:rFonts w:hint="eastAsia" w:ascii="方正仿宋_GBK" w:hAnsi="方正仿宋_GBK" w:eastAsia="方正仿宋_GBK" w:cs="方正仿宋_GBK"/>
          <w:b w:val="0"/>
          <w:bCs w:val="0"/>
          <w:sz w:val="30"/>
          <w:szCs w:val="30"/>
          <w:lang w:val="en-US" w:eastAsia="zh-CN"/>
        </w:rPr>
        <w:t>终端安全监管平台、内容及播控安全防护平台的“技防”措施，</w:t>
      </w:r>
      <w:r>
        <w:rPr>
          <w:rFonts w:hint="eastAsia" w:ascii="Times New Roman" w:hAnsi="Times New Roman" w:eastAsia="方正仿宋_GBK"/>
          <w:color w:val="000000"/>
          <w:sz w:val="32"/>
          <w:szCs w:val="32"/>
          <w:lang w:eastAsia="zh-CN"/>
        </w:rPr>
        <w:t>构建覆盖"监测-防护-响应"的全方位安全防护体系。</w:t>
      </w:r>
    </w:p>
    <w:p w14:paraId="338D3A11">
      <w:pPr>
        <w:keepNext w:val="0"/>
        <w:keepLines w:val="0"/>
        <w:pageBreakBefore w:val="0"/>
        <w:kinsoku/>
        <w:wordWrap/>
        <w:overflowPunct/>
        <w:topLinePunct w:val="0"/>
        <w:autoSpaceDE/>
        <w:autoSpaceDN/>
        <w:bidi w:val="0"/>
        <w:adjustRightInd/>
        <w:spacing w:line="594" w:lineRule="exact"/>
        <w:ind w:left="0" w:firstLine="643" w:firstLineChars="200"/>
        <w:jc w:val="both"/>
        <w:textAlignment w:val="auto"/>
        <w:rPr>
          <w:rFonts w:hint="eastAsia" w:ascii="方正黑体_GBK" w:hAnsi="方正黑体_GBK" w:eastAsia="方正黑体_GBK" w:cs="方正黑体_GBK"/>
          <w:b/>
          <w:color w:val="auto"/>
          <w:sz w:val="32"/>
          <w:szCs w:val="32"/>
          <w:lang w:val="en-US" w:eastAsia="zh-CN"/>
        </w:rPr>
      </w:pPr>
      <w:r>
        <w:rPr>
          <w:rFonts w:hint="eastAsia" w:ascii="方正黑体_GBK" w:hAnsi="方正黑体_GBK" w:eastAsia="方正黑体_GBK" w:cs="方正黑体_GBK"/>
          <w:b/>
          <w:color w:val="auto"/>
          <w:sz w:val="32"/>
          <w:szCs w:val="32"/>
          <w:lang w:val="en-US" w:eastAsia="zh-CN"/>
        </w:rPr>
        <w:t>二、项目投标范围</w:t>
      </w:r>
    </w:p>
    <w:p w14:paraId="694C6133">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服务</w:t>
      </w:r>
      <w:r>
        <w:rPr>
          <w:rFonts w:hint="eastAsia" w:ascii="方正仿宋_GBK" w:hAnsi="方正仿宋_GBK" w:eastAsia="方正仿宋_GBK" w:cs="方正仿宋_GBK"/>
          <w:color w:val="auto"/>
          <w:sz w:val="32"/>
          <w:szCs w:val="32"/>
        </w:rPr>
        <w:t>内容：</w:t>
      </w:r>
      <w:r>
        <w:rPr>
          <w:rFonts w:hint="eastAsia" w:ascii="方正仿宋_GBK" w:hAnsi="方正仿宋_GBK" w:eastAsia="方正仿宋_GBK" w:cs="方正仿宋_GBK"/>
          <w:color w:val="auto"/>
          <w:sz w:val="32"/>
          <w:szCs w:val="32"/>
          <w:u w:val="none"/>
          <w:lang w:val="en-US" w:eastAsia="zh-CN"/>
        </w:rPr>
        <w:t>九龙现代</w:t>
      </w:r>
      <w:r>
        <w:rPr>
          <w:rFonts w:hint="eastAsia" w:ascii="方正仿宋_GBK" w:hAnsi="方正仿宋_GBK" w:eastAsia="方正仿宋_GBK" w:cs="方正仿宋_GBK"/>
          <w:color w:val="auto"/>
          <w:sz w:val="32"/>
          <w:szCs w:val="32"/>
          <w:u w:val="none"/>
        </w:rPr>
        <w:t>产业集团2025年网络安全运维服务</w:t>
      </w:r>
      <w:r>
        <w:rPr>
          <w:rFonts w:hint="eastAsia" w:ascii="方正仿宋_GBK" w:hAnsi="方正仿宋_GBK" w:eastAsia="方正仿宋_GBK" w:cs="方正仿宋_GBK"/>
          <w:color w:val="auto"/>
          <w:sz w:val="32"/>
          <w:szCs w:val="32"/>
          <w:u w:val="none"/>
          <w:lang w:val="en-US" w:eastAsia="zh-CN"/>
        </w:rPr>
        <w:t>清单</w:t>
      </w:r>
      <w:r>
        <w:rPr>
          <w:rFonts w:hint="eastAsia" w:ascii="方正仿宋_GBK" w:hAnsi="方正仿宋_GBK" w:eastAsia="方正仿宋_GBK" w:cs="方正仿宋_GBK"/>
          <w:color w:val="auto"/>
          <w:sz w:val="32"/>
          <w:szCs w:val="32"/>
          <w:lang w:val="en-US" w:eastAsia="zh-CN"/>
        </w:rPr>
        <w:t>（附件4）。</w:t>
      </w:r>
    </w:p>
    <w:p w14:paraId="6EC199EC">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二</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工期</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自合同签署之日起一年。投标文件须满足谈判公告对工期的要求，否则其资格性、符合性审查不合格</w:t>
      </w:r>
      <w:r>
        <w:rPr>
          <w:rFonts w:hint="eastAsia" w:ascii="方正仿宋_GBK" w:hAnsi="方正仿宋_GBK" w:eastAsia="方正仿宋_GBK" w:cs="方正仿宋_GBK"/>
          <w:color w:val="auto"/>
          <w:sz w:val="32"/>
          <w:szCs w:val="32"/>
        </w:rPr>
        <w:t>。</w:t>
      </w:r>
    </w:p>
    <w:p w14:paraId="32D57A10">
      <w:pPr>
        <w:keepNext w:val="0"/>
        <w:keepLines w:val="0"/>
        <w:pageBreakBefore w:val="0"/>
        <w:kinsoku/>
        <w:wordWrap/>
        <w:overflowPunct/>
        <w:topLinePunct w:val="0"/>
        <w:autoSpaceDE/>
        <w:autoSpaceDN/>
        <w:bidi w:val="0"/>
        <w:adjustRightInd/>
        <w:spacing w:line="594" w:lineRule="exact"/>
        <w:ind w:left="0" w:firstLine="643" w:firstLineChars="200"/>
        <w:jc w:val="both"/>
        <w:textAlignment w:val="auto"/>
        <w:rPr>
          <w:rFonts w:hint="eastAsia" w:ascii="方正黑体_GBK" w:hAnsi="方正黑体_GBK" w:eastAsia="方正黑体_GBK" w:cs="方正黑体_GBK"/>
          <w:b/>
          <w:color w:val="auto"/>
          <w:sz w:val="32"/>
          <w:szCs w:val="32"/>
          <w:lang w:val="en-US" w:eastAsia="zh-CN"/>
        </w:rPr>
      </w:pPr>
      <w:r>
        <w:rPr>
          <w:rFonts w:hint="eastAsia" w:ascii="方正黑体_GBK" w:hAnsi="方正黑体_GBK" w:eastAsia="方正黑体_GBK" w:cs="方正黑体_GBK"/>
          <w:b/>
          <w:color w:val="auto"/>
          <w:sz w:val="32"/>
          <w:szCs w:val="32"/>
          <w:lang w:val="en-US" w:eastAsia="zh-CN"/>
        </w:rPr>
        <w:t>三、投标人资格要求</w:t>
      </w:r>
    </w:p>
    <w:p w14:paraId="60D3D41C">
      <w:pPr>
        <w:spacing w:line="60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（一）具备有效的营业执照（须提供有效的营业执照副本复印件）；</w:t>
      </w:r>
    </w:p>
    <w:p w14:paraId="685D5C6D">
      <w:pPr>
        <w:spacing w:line="60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（二）具有良好的商业信誉和健全的财务会计制度；</w:t>
      </w:r>
    </w:p>
    <w:p w14:paraId="691ADE04">
      <w:pPr>
        <w:pStyle w:val="12"/>
        <w:spacing w:after="0" w:line="600" w:lineRule="exact"/>
        <w:ind w:left="0" w:leftChars="0" w:firstLine="64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（三）具有履行合同所必需的设备和专业技术能力；</w:t>
      </w:r>
    </w:p>
    <w:p w14:paraId="3F83FA92">
      <w:pPr>
        <w:spacing w:line="600" w:lineRule="exact"/>
        <w:ind w:firstLine="640" w:firstLineChars="200"/>
        <w:rPr>
          <w:color w:val="auto"/>
          <w:sz w:val="32"/>
          <w:szCs w:val="32"/>
        </w:rPr>
      </w:pPr>
      <w:r>
        <w:rPr>
          <w:rFonts w:hint="eastAsia" w:ascii="方正仿宋_GBK" w:hAnsi="方正仿宋_GBK" w:eastAsia="方正仿宋_GBK" w:cs="方正仿宋_GBK"/>
          <w:color w:val="auto"/>
          <w:sz w:val="32"/>
          <w:szCs w:val="32"/>
        </w:rPr>
        <w:t>（四）有依法缴纳税收和社会保障金的良好记录；</w:t>
      </w:r>
    </w:p>
    <w:p w14:paraId="5BF94195">
      <w:pPr>
        <w:spacing w:line="60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（五）参加采购活动前三年内，在经营活动中没有重大违法记录；</w:t>
      </w:r>
    </w:p>
    <w:p w14:paraId="298BDCA1">
      <w:pPr>
        <w:spacing w:line="60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rPr>
        <w:t>（六）本次招标</w:t>
      </w:r>
      <w:r>
        <w:rPr>
          <w:rFonts w:hint="eastAsia" w:ascii="方正仿宋_GBK" w:hAnsi="方正仿宋_GBK" w:eastAsia="方正仿宋_GBK" w:cs="方正仿宋_GBK"/>
          <w:color w:val="auto"/>
          <w:sz w:val="32"/>
          <w:szCs w:val="32"/>
          <w:u w:val="single"/>
        </w:rPr>
        <w:t>不接受</w:t>
      </w:r>
      <w:r>
        <w:rPr>
          <w:rFonts w:hint="eastAsia" w:ascii="方正仿宋_GBK" w:hAnsi="方正仿宋_GBK" w:eastAsia="方正仿宋_GBK" w:cs="方正仿宋_GBK"/>
          <w:color w:val="auto"/>
          <w:sz w:val="32"/>
          <w:szCs w:val="32"/>
        </w:rPr>
        <w:t>联合体投标，</w:t>
      </w:r>
      <w:r>
        <w:rPr>
          <w:rFonts w:hint="eastAsia" w:ascii="方正仿宋_GBK" w:hAnsi="方正仿宋_GBK" w:eastAsia="方正仿宋_GBK" w:cs="方正仿宋_GBK"/>
          <w:color w:val="auto"/>
          <w:sz w:val="32"/>
          <w:szCs w:val="32"/>
          <w:highlight w:val="none"/>
        </w:rPr>
        <w:t>中选后不允许分包、转包。</w:t>
      </w:r>
    </w:p>
    <w:p w14:paraId="62358E7E">
      <w:pPr>
        <w:spacing w:line="60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七）投标人具备信息系统安全运维服务资质认证（三级）。</w:t>
      </w:r>
    </w:p>
    <w:p w14:paraId="65542171">
      <w:pPr>
        <w:keepNext w:val="0"/>
        <w:keepLines w:val="0"/>
        <w:pageBreakBefore w:val="0"/>
        <w:kinsoku/>
        <w:wordWrap/>
        <w:overflowPunct/>
        <w:topLinePunct w:val="0"/>
        <w:autoSpaceDE/>
        <w:autoSpaceDN/>
        <w:bidi w:val="0"/>
        <w:adjustRightInd/>
        <w:spacing w:line="594" w:lineRule="exact"/>
        <w:ind w:left="0" w:firstLine="643" w:firstLineChars="200"/>
        <w:jc w:val="both"/>
        <w:textAlignment w:val="auto"/>
        <w:rPr>
          <w:rFonts w:hint="eastAsia" w:ascii="方正黑体_GBK" w:hAnsi="方正黑体_GBK" w:eastAsia="方正黑体_GBK" w:cs="方正黑体_GBK"/>
          <w:b/>
          <w:color w:val="auto"/>
          <w:sz w:val="32"/>
          <w:szCs w:val="32"/>
          <w:lang w:val="en-US" w:eastAsia="zh-CN"/>
        </w:rPr>
      </w:pPr>
      <w:r>
        <w:rPr>
          <w:rFonts w:hint="eastAsia" w:ascii="方正黑体_GBK" w:hAnsi="方正黑体_GBK" w:eastAsia="方正黑体_GBK" w:cs="方正黑体_GBK"/>
          <w:b/>
          <w:color w:val="auto"/>
          <w:sz w:val="32"/>
          <w:szCs w:val="32"/>
          <w:lang w:val="en-US" w:eastAsia="zh-CN"/>
        </w:rPr>
        <w:t>四、投标报价</w:t>
      </w:r>
    </w:p>
    <w:p w14:paraId="0383218F">
      <w:pPr>
        <w:spacing w:line="60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rPr>
        <w:t>本项目投标报价最高限价为</w:t>
      </w:r>
      <w:r>
        <w:rPr>
          <w:rFonts w:hint="eastAsia" w:ascii="方正仿宋_GBK" w:hAnsi="方正仿宋_GBK" w:eastAsia="方正仿宋_GBK" w:cs="方正仿宋_GBK"/>
          <w:color w:val="auto"/>
          <w:sz w:val="32"/>
          <w:szCs w:val="32"/>
          <w:highlight w:val="none"/>
          <w:u w:val="single"/>
          <w:lang w:val="en-US" w:eastAsia="zh-CN"/>
        </w:rPr>
        <w:t>295000</w:t>
      </w:r>
      <w:r>
        <w:rPr>
          <w:rFonts w:hint="eastAsia" w:ascii="方正仿宋_GBK" w:hAnsi="方正仿宋_GBK" w:eastAsia="方正仿宋_GBK" w:cs="方正仿宋_GBK"/>
          <w:color w:val="auto"/>
          <w:sz w:val="32"/>
          <w:szCs w:val="32"/>
          <w:highlight w:val="none"/>
          <w:u w:val="single"/>
        </w:rPr>
        <w:t>元</w:t>
      </w:r>
      <w:r>
        <w:rPr>
          <w:rFonts w:hint="eastAsia" w:ascii="方正仿宋_GBK" w:hAnsi="方正仿宋_GBK" w:eastAsia="方正仿宋_GBK" w:cs="方正仿宋_GBK"/>
          <w:color w:val="auto"/>
          <w:sz w:val="32"/>
          <w:szCs w:val="32"/>
          <w:lang w:eastAsia="zh-CN"/>
        </w:rPr>
        <w:t>。</w:t>
      </w:r>
      <w:r>
        <w:rPr>
          <w:rFonts w:hint="eastAsia" w:ascii="方正仿宋_GBK" w:hAnsi="宋体" w:eastAsia="方正仿宋_GBK"/>
          <w:color w:val="auto"/>
          <w:sz w:val="32"/>
          <w:szCs w:val="32"/>
        </w:rPr>
        <w:t>投标总报价</w:t>
      </w:r>
      <w:r>
        <w:rPr>
          <w:rFonts w:hint="eastAsia" w:ascii="方正仿宋_GBK" w:hAnsi="宋体" w:eastAsia="方正仿宋_GBK"/>
          <w:color w:val="auto"/>
          <w:sz w:val="32"/>
          <w:szCs w:val="32"/>
          <w:lang w:val="en-US" w:eastAsia="zh-CN"/>
        </w:rPr>
        <w:t>以</w:t>
      </w:r>
      <w:r>
        <w:rPr>
          <w:rFonts w:hint="eastAsia" w:ascii="方正仿宋_GBK" w:hAnsi="宋体" w:eastAsia="方正仿宋_GBK"/>
          <w:color w:val="auto"/>
          <w:sz w:val="32"/>
          <w:szCs w:val="32"/>
        </w:rPr>
        <w:t>元为单位，保留两位小数，小数点后第三位四舍五入，不足两位的按实际位数保留。</w:t>
      </w:r>
    </w:p>
    <w:p w14:paraId="1E79D1CF">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二）</w:t>
      </w:r>
      <w:r>
        <w:rPr>
          <w:rFonts w:hint="eastAsia" w:ascii="方正仿宋_GBK" w:hAnsi="方正仿宋_GBK" w:eastAsia="方正仿宋_GBK" w:cs="方正仿宋_GBK"/>
          <w:color w:val="auto"/>
          <w:sz w:val="32"/>
          <w:szCs w:val="32"/>
        </w:rPr>
        <w:t>投标人投标报价不得超过招标人公布的最高限价，否则按废标处理。</w:t>
      </w:r>
    </w:p>
    <w:p w14:paraId="3E84A568">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三）</w:t>
      </w:r>
      <w:r>
        <w:rPr>
          <w:rFonts w:hint="eastAsia" w:ascii="方正仿宋_GBK" w:hAnsi="方正仿宋_GBK" w:eastAsia="方正仿宋_GBK" w:cs="方正仿宋_GBK"/>
          <w:color w:val="auto"/>
          <w:sz w:val="32"/>
          <w:szCs w:val="32"/>
          <w:highlight w:val="none"/>
          <w:lang w:eastAsia="zh-CN"/>
        </w:rPr>
        <w:t>本次报价须为人民币报价，报价包括本项目所有</w:t>
      </w:r>
      <w:r>
        <w:rPr>
          <w:rFonts w:hint="eastAsia" w:ascii="方正仿宋_GBK" w:hAnsi="方正仿宋_GBK" w:eastAsia="方正仿宋_GBK" w:cs="方正仿宋_GBK"/>
          <w:color w:val="auto"/>
          <w:sz w:val="32"/>
          <w:szCs w:val="32"/>
          <w:highlight w:val="none"/>
          <w:lang w:val="en-US" w:eastAsia="zh-CN"/>
        </w:rPr>
        <w:t>设计</w:t>
      </w:r>
      <w:r>
        <w:rPr>
          <w:rFonts w:hint="eastAsia" w:ascii="方正仿宋_GBK" w:hAnsi="方正仿宋_GBK" w:eastAsia="方正仿宋_GBK" w:cs="方正仿宋_GBK"/>
          <w:color w:val="auto"/>
          <w:sz w:val="32"/>
          <w:szCs w:val="32"/>
          <w:highlight w:val="none"/>
          <w:lang w:eastAsia="zh-CN"/>
        </w:rPr>
        <w:t>费、各种应纳的税费等完成本项目的一切费用。因</w:t>
      </w:r>
      <w:r>
        <w:rPr>
          <w:rFonts w:hint="eastAsia" w:ascii="方正仿宋_GBK" w:hAnsi="方正仿宋_GBK" w:eastAsia="方正仿宋_GBK" w:cs="方正仿宋_GBK"/>
          <w:color w:val="auto"/>
          <w:sz w:val="32"/>
          <w:szCs w:val="32"/>
          <w:highlight w:val="none"/>
          <w:lang w:val="en-US" w:eastAsia="zh-CN"/>
        </w:rPr>
        <w:t>投标人</w:t>
      </w:r>
      <w:r>
        <w:rPr>
          <w:rFonts w:hint="eastAsia" w:ascii="方正仿宋_GBK" w:hAnsi="方正仿宋_GBK" w:eastAsia="方正仿宋_GBK" w:cs="方正仿宋_GBK"/>
          <w:color w:val="auto"/>
          <w:sz w:val="32"/>
          <w:szCs w:val="32"/>
          <w:highlight w:val="none"/>
          <w:lang w:eastAsia="zh-CN"/>
        </w:rPr>
        <w:t>自身原因造成漏报、少报皆由其自行承担责任，</w:t>
      </w:r>
      <w:r>
        <w:rPr>
          <w:rFonts w:hint="eastAsia" w:ascii="方正仿宋_GBK" w:hAnsi="方正仿宋_GBK" w:eastAsia="方正仿宋_GBK" w:cs="方正仿宋_GBK"/>
          <w:color w:val="auto"/>
          <w:sz w:val="32"/>
          <w:szCs w:val="32"/>
          <w:highlight w:val="none"/>
          <w:lang w:val="en-US" w:eastAsia="zh-CN"/>
        </w:rPr>
        <w:t>招标</w:t>
      </w:r>
      <w:r>
        <w:rPr>
          <w:rFonts w:hint="eastAsia" w:ascii="方正仿宋_GBK" w:hAnsi="方正仿宋_GBK" w:eastAsia="方正仿宋_GBK" w:cs="方正仿宋_GBK"/>
          <w:color w:val="auto"/>
          <w:sz w:val="32"/>
          <w:szCs w:val="32"/>
          <w:highlight w:val="none"/>
          <w:lang w:eastAsia="zh-CN"/>
        </w:rPr>
        <w:t>人不再补偿。</w:t>
      </w:r>
    </w:p>
    <w:p w14:paraId="3889F024">
      <w:pPr>
        <w:keepNext w:val="0"/>
        <w:keepLines w:val="0"/>
        <w:pageBreakBefore w:val="0"/>
        <w:kinsoku/>
        <w:wordWrap/>
        <w:overflowPunct/>
        <w:topLinePunct w:val="0"/>
        <w:autoSpaceDE/>
        <w:autoSpaceDN/>
        <w:bidi w:val="0"/>
        <w:adjustRightInd/>
        <w:spacing w:line="594" w:lineRule="exact"/>
        <w:ind w:left="0" w:firstLine="632" w:firstLineChars="200"/>
        <w:jc w:val="both"/>
        <w:textAlignment w:val="auto"/>
        <w:rPr>
          <w:rFonts w:hint="eastAsia" w:ascii="方正黑体_GBK" w:hAnsi="方正黑体_GBK" w:eastAsia="方正黑体_GBK" w:cs="方正黑体_GBK"/>
          <w:snapToGrid w:val="0"/>
          <w:color w:val="auto"/>
          <w:w w:val="99"/>
          <w:sz w:val="32"/>
          <w:szCs w:val="32"/>
          <w:lang w:val="en-US" w:eastAsia="zh-CN"/>
        </w:rPr>
      </w:pPr>
      <w:r>
        <w:rPr>
          <w:rFonts w:hint="eastAsia" w:ascii="方正黑体_GBK" w:hAnsi="方正黑体_GBK" w:eastAsia="方正黑体_GBK" w:cs="方正黑体_GBK"/>
          <w:snapToGrid w:val="0"/>
          <w:color w:val="auto"/>
          <w:w w:val="99"/>
          <w:sz w:val="32"/>
          <w:szCs w:val="32"/>
          <w:lang w:val="en-US" w:eastAsia="zh-CN"/>
        </w:rPr>
        <w:t>五</w:t>
      </w:r>
      <w:r>
        <w:rPr>
          <w:rFonts w:hint="eastAsia" w:ascii="方正黑体_GBK" w:hAnsi="方正黑体_GBK" w:eastAsia="方正黑体_GBK" w:cs="方正黑体_GBK"/>
          <w:snapToGrid w:val="0"/>
          <w:color w:val="auto"/>
          <w:w w:val="99"/>
          <w:sz w:val="32"/>
          <w:szCs w:val="32"/>
        </w:rPr>
        <w:t>、付款</w:t>
      </w:r>
      <w:r>
        <w:rPr>
          <w:rFonts w:hint="eastAsia" w:ascii="方正黑体_GBK" w:hAnsi="方正黑体_GBK" w:eastAsia="方正黑体_GBK" w:cs="方正黑体_GBK"/>
          <w:snapToGrid w:val="0"/>
          <w:color w:val="auto"/>
          <w:w w:val="99"/>
          <w:sz w:val="32"/>
          <w:szCs w:val="32"/>
          <w:lang w:val="en-US" w:eastAsia="zh-CN"/>
        </w:rPr>
        <w:t>方式</w:t>
      </w:r>
    </w:p>
    <w:p w14:paraId="7D9C87C6">
      <w:pPr>
        <w:snapToGrid w:val="0"/>
        <w:spacing w:line="360" w:lineRule="auto"/>
        <w:ind w:firstLine="640" w:firstLineChars="200"/>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一）合同签订后，中标人开具合同金额50%的发票，采购人在收到发票后15个工作日支付合同额50%的款项给中标方。项目验收后，中标方凭合同和验收报告提交合同金额50%的增值税普通发票，采购人在收到发票后15个工作日支付合同额50%的款项给中标方。</w:t>
      </w:r>
    </w:p>
    <w:p w14:paraId="4DAE7CEE">
      <w:pPr>
        <w:spacing w:line="580" w:lineRule="exact"/>
        <w:ind w:firstLine="480" w:firstLineChars="150"/>
        <w:rPr>
          <w:rFonts w:ascii="方正仿宋_GBK" w:hAnsi="Times New Roman" w:eastAsia="方正仿宋_GBK"/>
          <w:color w:val="auto"/>
          <w:sz w:val="32"/>
          <w:szCs w:val="32"/>
        </w:rPr>
      </w:pPr>
      <w:r>
        <w:rPr>
          <w:rFonts w:hint="eastAsia" w:ascii="方正仿宋_GBK" w:hAnsi="Times New Roman" w:eastAsia="方正仿宋_GBK"/>
          <w:color w:val="auto"/>
          <w:sz w:val="32"/>
          <w:szCs w:val="32"/>
        </w:rPr>
        <w:t>（二）本合同所约定价款均为含税价，中标方按现行税法规定及招标人要求开具增值税专用发票。</w:t>
      </w:r>
    </w:p>
    <w:p w14:paraId="6B5C4E60">
      <w:pPr>
        <w:keepNext w:val="0"/>
        <w:keepLines w:val="0"/>
        <w:pageBreakBefore w:val="0"/>
        <w:kinsoku/>
        <w:wordWrap/>
        <w:overflowPunct/>
        <w:topLinePunct w:val="0"/>
        <w:autoSpaceDE/>
        <w:autoSpaceDN/>
        <w:bidi w:val="0"/>
        <w:adjustRightInd/>
        <w:spacing w:line="594" w:lineRule="exact"/>
        <w:ind w:left="0" w:firstLine="643" w:firstLineChars="200"/>
        <w:jc w:val="both"/>
        <w:textAlignment w:val="auto"/>
        <w:rPr>
          <w:rFonts w:hint="eastAsia" w:ascii="方正黑体_GBK" w:hAnsi="方正黑体_GBK" w:eastAsia="方正黑体_GBK" w:cs="方正黑体_GBK"/>
          <w:b/>
          <w:color w:val="auto"/>
          <w:sz w:val="32"/>
          <w:szCs w:val="32"/>
        </w:rPr>
      </w:pPr>
      <w:r>
        <w:rPr>
          <w:rFonts w:hint="eastAsia" w:ascii="方正黑体_GBK" w:hAnsi="方正黑体_GBK" w:eastAsia="方正黑体_GBK" w:cs="方正黑体_GBK"/>
          <w:b/>
          <w:color w:val="auto"/>
          <w:sz w:val="32"/>
          <w:szCs w:val="32"/>
          <w:lang w:val="en-US" w:eastAsia="zh-CN"/>
        </w:rPr>
        <w:t>六</w:t>
      </w:r>
      <w:r>
        <w:rPr>
          <w:rFonts w:hint="eastAsia" w:ascii="方正黑体_GBK" w:hAnsi="方正黑体_GBK" w:eastAsia="方正黑体_GBK" w:cs="方正黑体_GBK"/>
          <w:b/>
          <w:color w:val="auto"/>
          <w:sz w:val="32"/>
          <w:szCs w:val="32"/>
        </w:rPr>
        <w:t>、投标文件要求</w:t>
      </w:r>
    </w:p>
    <w:p w14:paraId="63AB632A">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（一）投标文件组成：</w:t>
      </w:r>
    </w:p>
    <w:p w14:paraId="227D7830">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1、投标报价函（需加盖公司鲜章及法人签章）；</w:t>
      </w:r>
    </w:p>
    <w:p w14:paraId="2A9E7ABD">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2、投标清单</w:t>
      </w:r>
      <w:r>
        <w:rPr>
          <w:rFonts w:hint="eastAsia" w:ascii="方正仿宋_GBK" w:hAnsi="方正仿宋_GBK" w:eastAsia="方正仿宋_GBK" w:cs="方正仿宋_GBK"/>
          <w:color w:val="auto"/>
          <w:sz w:val="32"/>
          <w:szCs w:val="32"/>
          <w:highlight w:val="none"/>
          <w:lang w:eastAsia="zh-CN"/>
        </w:rPr>
        <w:t>（需加盖公司鲜章）</w:t>
      </w:r>
    </w:p>
    <w:p w14:paraId="69B751DD">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eastAsia="zh-CN"/>
        </w:rPr>
        <w:t>有效公司营业执照复印件（需加盖公司鲜章）；</w:t>
      </w:r>
    </w:p>
    <w:p w14:paraId="290E5609">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lang w:eastAsia="zh-CN"/>
        </w:rPr>
        <w:t>、有效公司资质证书复印件（需加盖公司鲜章）；</w:t>
      </w:r>
    </w:p>
    <w:p w14:paraId="687F9A31">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lang w:eastAsia="zh-CN"/>
        </w:rPr>
        <w:t>、授权委托书（加盖公司鲜章）；</w:t>
      </w:r>
    </w:p>
    <w:p w14:paraId="0E09828E">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6、承诺书（加盖公司鲜章）；</w:t>
      </w:r>
    </w:p>
    <w:p w14:paraId="32B3A771">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（二）投标文件制作</w:t>
      </w:r>
    </w:p>
    <w:p w14:paraId="097ED44E">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1、各投标人应当按要求编制投标文件，并对</w:t>
      </w:r>
      <w:r>
        <w:rPr>
          <w:rFonts w:hint="eastAsia" w:ascii="方正仿宋_GBK" w:hAnsi="方正仿宋_GBK" w:eastAsia="方正仿宋_GBK" w:cs="方正仿宋_GBK"/>
          <w:color w:val="auto"/>
          <w:sz w:val="32"/>
          <w:szCs w:val="32"/>
          <w:lang w:val="en-US" w:eastAsia="zh-CN"/>
        </w:rPr>
        <w:t>投标</w:t>
      </w:r>
      <w:r>
        <w:rPr>
          <w:rFonts w:hint="eastAsia" w:ascii="方正仿宋_GBK" w:hAnsi="方正仿宋_GBK" w:eastAsia="方正仿宋_GBK" w:cs="方正仿宋_GBK"/>
          <w:color w:val="auto"/>
          <w:sz w:val="32"/>
          <w:szCs w:val="32"/>
        </w:rPr>
        <w:t>文件提出的要求和条件作出实质性响应，纸质文件原则上采用软面订本，同时应编制完整的页码、目录。响应文件</w:t>
      </w:r>
      <w:r>
        <w:rPr>
          <w:rFonts w:hint="eastAsia" w:ascii="方正仿宋_GBK" w:hAnsi="方正仿宋_GBK" w:eastAsia="方正仿宋_GBK" w:cs="方正仿宋_GBK"/>
          <w:b/>
          <w:color w:val="auto"/>
          <w:sz w:val="32"/>
          <w:szCs w:val="32"/>
          <w:u w:val="single"/>
        </w:rPr>
        <w:t>一式二份</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b/>
          <w:color w:val="auto"/>
          <w:sz w:val="32"/>
          <w:szCs w:val="32"/>
        </w:rPr>
        <w:t>两份响应文件应保持内容一致</w:t>
      </w:r>
      <w:r>
        <w:rPr>
          <w:rFonts w:hint="eastAsia" w:ascii="方正仿宋_GBK" w:hAnsi="方正仿宋_GBK" w:eastAsia="方正仿宋_GBK" w:cs="方正仿宋_GBK"/>
          <w:color w:val="auto"/>
          <w:sz w:val="32"/>
          <w:szCs w:val="32"/>
        </w:rPr>
        <w:t>，如投标人两份投标文件不一致，将按有利于招标人的一份投标文件进行评标）</w:t>
      </w:r>
      <w:r>
        <w:rPr>
          <w:rFonts w:hint="eastAsia" w:ascii="方正仿宋_GBK" w:hAnsi="方正仿宋_GBK" w:eastAsia="方正仿宋_GBK" w:cs="方正仿宋_GBK"/>
          <w:color w:val="auto"/>
          <w:sz w:val="32"/>
          <w:szCs w:val="32"/>
          <w:lang w:eastAsia="zh-CN"/>
        </w:rPr>
        <w:t>。</w:t>
      </w:r>
    </w:p>
    <w:p w14:paraId="1E647C54">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2、投标文件应采用档案袋密封，封皮上注明“项目名称”、“投标人名称”字样，档案袋的封口应加盖公章或法人授权代表签字。</w:t>
      </w:r>
    </w:p>
    <w:p w14:paraId="32407341">
      <w:pPr>
        <w:spacing w:line="580" w:lineRule="exact"/>
        <w:ind w:firstLine="640" w:firstLineChars="200"/>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七、投标文件的递交</w:t>
      </w:r>
    </w:p>
    <w:p w14:paraId="6E6C9310">
      <w:pPr>
        <w:spacing w:line="580" w:lineRule="exact"/>
        <w:ind w:firstLine="640" w:firstLineChars="200"/>
        <w:rPr>
          <w:rFonts w:ascii="方正仿宋_GBK" w:hAnsi="Times New Roman" w:eastAsia="方正仿宋_GBK" w:cs="Times New Roman"/>
          <w:color w:val="auto"/>
          <w:sz w:val="32"/>
          <w:szCs w:val="32"/>
        </w:rPr>
      </w:pPr>
      <w:r>
        <w:rPr>
          <w:rFonts w:hint="eastAsia" w:ascii="方正仿宋_GBK" w:hAnsi="Times New Roman" w:eastAsia="方正仿宋_GBK" w:cs="Times New Roman"/>
          <w:color w:val="auto"/>
          <w:sz w:val="32"/>
          <w:szCs w:val="32"/>
        </w:rPr>
        <w:t>（一）投标文件的递交时间：详见谈判公告。</w:t>
      </w:r>
    </w:p>
    <w:p w14:paraId="05F58D09">
      <w:pPr>
        <w:spacing w:line="580" w:lineRule="exact"/>
        <w:ind w:firstLine="640" w:firstLineChars="200"/>
        <w:rPr>
          <w:rFonts w:ascii="方正仿宋_GBK" w:hAnsi="Times New Roman" w:eastAsia="方正仿宋_GBK" w:cs="Times New Roman"/>
          <w:color w:val="auto"/>
          <w:sz w:val="32"/>
          <w:szCs w:val="32"/>
        </w:rPr>
      </w:pPr>
      <w:r>
        <w:rPr>
          <w:rFonts w:hint="eastAsia" w:ascii="方正仿宋_GBK" w:hAnsi="Times New Roman" w:eastAsia="方正仿宋_GBK" w:cs="Times New Roman"/>
          <w:color w:val="auto"/>
          <w:sz w:val="32"/>
          <w:szCs w:val="32"/>
        </w:rPr>
        <w:t>（二）递交地点</w:t>
      </w:r>
      <w:r>
        <w:rPr>
          <w:rFonts w:ascii="方正仿宋_GBK" w:hAnsi="Times New Roman" w:eastAsia="方正仿宋_GBK" w:cs="Times New Roman"/>
          <w:color w:val="auto"/>
          <w:sz w:val="32"/>
          <w:szCs w:val="32"/>
        </w:rPr>
        <w:t>：</w:t>
      </w:r>
      <w:r>
        <w:rPr>
          <w:rFonts w:hint="eastAsia" w:ascii="方正仿宋_GBK" w:hAnsi="Times New Roman" w:eastAsia="方正仿宋_GBK" w:cs="Times New Roman"/>
          <w:color w:val="auto"/>
          <w:sz w:val="32"/>
          <w:szCs w:val="32"/>
        </w:rPr>
        <w:t>重庆市九龙坡区二郎街道融堃</w:t>
      </w:r>
      <w:r>
        <w:rPr>
          <w:rFonts w:hint="eastAsia" w:ascii="宋体" w:hAnsi="宋体" w:eastAsia="宋体" w:cs="宋体"/>
          <w:color w:val="auto"/>
          <w:sz w:val="32"/>
          <w:szCs w:val="32"/>
        </w:rPr>
        <w:t>•</w:t>
      </w:r>
      <w:r>
        <w:rPr>
          <w:rFonts w:hint="eastAsia" w:ascii="方正仿宋_GBK" w:hAnsi="方正仿宋_GBK" w:eastAsia="方正仿宋_GBK" w:cs="方正仿宋_GBK"/>
          <w:color w:val="auto"/>
          <w:sz w:val="32"/>
          <w:szCs w:val="32"/>
        </w:rPr>
        <w:t>彩云里</w:t>
      </w:r>
      <w:r>
        <w:rPr>
          <w:rFonts w:hint="eastAsia" w:ascii="方正仿宋_GBK" w:hAnsi="Times New Roman" w:eastAsia="方正仿宋_GBK" w:cs="Times New Roman"/>
          <w:color w:val="auto"/>
          <w:sz w:val="32"/>
          <w:szCs w:val="32"/>
        </w:rPr>
        <w:t>16楼。</w:t>
      </w:r>
    </w:p>
    <w:p w14:paraId="4175C90B">
      <w:pPr>
        <w:spacing w:line="580" w:lineRule="exact"/>
        <w:ind w:firstLine="640" w:firstLineChars="200"/>
        <w:rPr>
          <w:rFonts w:ascii="方正仿宋_GBK" w:hAnsi="Times New Roman" w:eastAsia="方正仿宋_GBK" w:cs="Times New Roman"/>
          <w:color w:val="auto"/>
          <w:sz w:val="32"/>
          <w:szCs w:val="32"/>
        </w:rPr>
      </w:pPr>
      <w:r>
        <w:rPr>
          <w:rFonts w:hint="eastAsia" w:ascii="方正仿宋_GBK" w:hAnsi="Times New Roman" w:eastAsia="方正仿宋_GBK" w:cs="Times New Roman"/>
          <w:color w:val="auto"/>
          <w:sz w:val="32"/>
          <w:szCs w:val="32"/>
        </w:rPr>
        <w:t>（三）投标截止时间：详见谈判公告；</w:t>
      </w:r>
    </w:p>
    <w:p w14:paraId="1FFFC12B">
      <w:pPr>
        <w:spacing w:line="580" w:lineRule="exact"/>
        <w:ind w:firstLine="1558" w:firstLineChars="487"/>
        <w:rPr>
          <w:rFonts w:ascii="方正仿宋_GBK" w:hAnsi="Times New Roman" w:eastAsia="方正仿宋_GBK" w:cs="Times New Roman"/>
          <w:color w:val="auto"/>
          <w:sz w:val="32"/>
          <w:szCs w:val="32"/>
        </w:rPr>
      </w:pPr>
      <w:r>
        <w:rPr>
          <w:rFonts w:hint="eastAsia" w:ascii="方正仿宋_GBK" w:hAnsi="Times New Roman" w:eastAsia="方正仿宋_GBK" w:cs="Times New Roman"/>
          <w:color w:val="auto"/>
          <w:sz w:val="32"/>
          <w:szCs w:val="32"/>
        </w:rPr>
        <w:t>开标时间：同投标截止时间。</w:t>
      </w:r>
    </w:p>
    <w:p w14:paraId="394FF71C">
      <w:pPr>
        <w:spacing w:line="580" w:lineRule="exact"/>
        <w:ind w:firstLine="640" w:firstLineChars="200"/>
        <w:rPr>
          <w:rFonts w:ascii="方正仿宋_GBK" w:hAnsi="Times New Roman" w:eastAsia="方正仿宋_GBK" w:cs="Times New Roman"/>
          <w:color w:val="auto"/>
          <w:sz w:val="32"/>
          <w:szCs w:val="32"/>
        </w:rPr>
      </w:pPr>
      <w:r>
        <w:rPr>
          <w:rFonts w:hint="eastAsia" w:ascii="方正仿宋_GBK" w:hAnsi="Times New Roman" w:eastAsia="方正仿宋_GBK" w:cs="Times New Roman"/>
          <w:color w:val="auto"/>
          <w:sz w:val="32"/>
          <w:szCs w:val="32"/>
        </w:rPr>
        <w:t>（四）</w:t>
      </w:r>
      <w:r>
        <w:rPr>
          <w:rFonts w:hint="eastAsia" w:ascii="方正仿宋_GBK" w:hAnsi="Times New Roman" w:eastAsia="方正仿宋_GBK" w:cs="Times New Roman"/>
          <w:b/>
          <w:color w:val="auto"/>
          <w:sz w:val="32"/>
          <w:szCs w:val="32"/>
        </w:rPr>
        <w:t>投标截止时间后送达的投标文件招标人不予受理；</w:t>
      </w:r>
    </w:p>
    <w:p w14:paraId="130882A4">
      <w:pPr>
        <w:spacing w:line="580" w:lineRule="exact"/>
        <w:ind w:firstLine="640" w:firstLineChars="200"/>
        <w:rPr>
          <w:rFonts w:ascii="方正仿宋_GBK" w:hAnsi="Times New Roman" w:eastAsia="方正仿宋_GBK" w:cs="Times New Roman"/>
          <w:color w:val="auto"/>
          <w:sz w:val="32"/>
          <w:szCs w:val="32"/>
        </w:rPr>
      </w:pPr>
      <w:r>
        <w:rPr>
          <w:rFonts w:hint="eastAsia" w:ascii="方正仿宋_GBK" w:hAnsi="Times New Roman" w:eastAsia="方正仿宋_GBK" w:cs="Times New Roman"/>
          <w:color w:val="auto"/>
          <w:sz w:val="32"/>
          <w:szCs w:val="32"/>
        </w:rPr>
        <w:t>（五）谈判参与人员</w:t>
      </w:r>
    </w:p>
    <w:p w14:paraId="328A9722">
      <w:pPr>
        <w:spacing w:line="580" w:lineRule="exact"/>
        <w:ind w:firstLine="643" w:firstLineChars="200"/>
        <w:rPr>
          <w:rFonts w:ascii="方正仿宋_GBK" w:hAnsi="Times New Roman" w:eastAsia="方正仿宋_GBK" w:cs="Times New Roman"/>
          <w:b/>
          <w:color w:val="auto"/>
          <w:sz w:val="32"/>
          <w:szCs w:val="32"/>
        </w:rPr>
      </w:pPr>
      <w:r>
        <w:rPr>
          <w:rFonts w:hint="eastAsia" w:ascii="方正仿宋_GBK" w:hAnsi="Times New Roman" w:eastAsia="方正仿宋_GBK" w:cs="Times New Roman"/>
          <w:b/>
          <w:color w:val="auto"/>
          <w:sz w:val="32"/>
          <w:szCs w:val="32"/>
        </w:rPr>
        <w:t>1</w:t>
      </w:r>
      <w:r>
        <w:rPr>
          <w:rFonts w:ascii="方正仿宋_GBK" w:hAnsi="Times New Roman" w:eastAsia="方正仿宋_GBK" w:cs="Times New Roman"/>
          <w:b/>
          <w:color w:val="auto"/>
          <w:sz w:val="32"/>
          <w:szCs w:val="32"/>
        </w:rPr>
        <w:t>.</w:t>
      </w:r>
      <w:r>
        <w:rPr>
          <w:rFonts w:hint="eastAsia" w:ascii="方正仿宋_GBK" w:hAnsi="Times New Roman" w:eastAsia="方正仿宋_GBK" w:cs="Times New Roman"/>
          <w:b/>
          <w:color w:val="auto"/>
          <w:sz w:val="32"/>
          <w:szCs w:val="32"/>
        </w:rPr>
        <w:t>收到邀请书的投标人。未收到邀请的投标文件，招标人将拒绝接收。</w:t>
      </w:r>
    </w:p>
    <w:p w14:paraId="08E79D20">
      <w:pPr>
        <w:spacing w:line="580" w:lineRule="exact"/>
        <w:ind w:firstLine="640" w:firstLineChars="200"/>
        <w:rPr>
          <w:rFonts w:ascii="方正仿宋_GBK" w:hAnsi="Times New Roman" w:eastAsia="方正仿宋_GBK" w:cs="Times New Roman"/>
          <w:color w:val="auto"/>
          <w:sz w:val="32"/>
          <w:szCs w:val="32"/>
        </w:rPr>
      </w:pPr>
      <w:r>
        <w:rPr>
          <w:rFonts w:hint="eastAsia" w:ascii="方正仿宋_GBK" w:hAnsi="Times New Roman" w:eastAsia="方正仿宋_GBK" w:cs="Times New Roman"/>
          <w:color w:val="auto"/>
          <w:sz w:val="32"/>
          <w:szCs w:val="32"/>
        </w:rPr>
        <w:t>2</w:t>
      </w:r>
      <w:r>
        <w:rPr>
          <w:rFonts w:ascii="方正仿宋_GBK" w:hAnsi="Times New Roman" w:eastAsia="方正仿宋_GBK" w:cs="Times New Roman"/>
          <w:color w:val="auto"/>
          <w:sz w:val="32"/>
          <w:szCs w:val="32"/>
        </w:rPr>
        <w:t>.</w:t>
      </w:r>
      <w:r>
        <w:rPr>
          <w:rFonts w:hint="eastAsia" w:ascii="方正仿宋_GBK" w:hAnsi="Times New Roman" w:eastAsia="方正仿宋_GBK" w:cs="Times New Roman"/>
          <w:color w:val="auto"/>
          <w:sz w:val="32"/>
          <w:szCs w:val="32"/>
        </w:rPr>
        <w:t>各投标人应当派1名代表参与，至少1人应为法定代表人或具有法定代表人授权委托书的授权代表。</w:t>
      </w:r>
    </w:p>
    <w:p w14:paraId="3C9A82DB">
      <w:pPr>
        <w:keepNext w:val="0"/>
        <w:keepLines w:val="0"/>
        <w:pageBreakBefore w:val="0"/>
        <w:kinsoku/>
        <w:wordWrap/>
        <w:overflowPunct/>
        <w:topLinePunct w:val="0"/>
        <w:autoSpaceDE/>
        <w:autoSpaceDN/>
        <w:bidi w:val="0"/>
        <w:adjustRightInd/>
        <w:spacing w:line="594" w:lineRule="exact"/>
        <w:ind w:left="0" w:firstLine="643" w:firstLineChars="200"/>
        <w:jc w:val="both"/>
        <w:textAlignment w:val="auto"/>
        <w:rPr>
          <w:rFonts w:hint="eastAsia" w:ascii="方正黑体_GBK" w:hAnsi="方正黑体_GBK" w:eastAsia="方正黑体_GBK" w:cs="方正黑体_GBK"/>
          <w:b/>
          <w:color w:val="auto"/>
          <w:sz w:val="32"/>
          <w:szCs w:val="32"/>
        </w:rPr>
      </w:pPr>
      <w:r>
        <w:rPr>
          <w:rFonts w:hint="eastAsia" w:ascii="方正黑体_GBK" w:hAnsi="方正黑体_GBK" w:eastAsia="方正黑体_GBK" w:cs="方正黑体_GBK"/>
          <w:b/>
          <w:color w:val="auto"/>
          <w:sz w:val="32"/>
          <w:szCs w:val="32"/>
          <w:lang w:val="en-US" w:eastAsia="zh-CN"/>
        </w:rPr>
        <w:t>八</w:t>
      </w:r>
      <w:r>
        <w:rPr>
          <w:rFonts w:hint="eastAsia" w:ascii="方正黑体_GBK" w:hAnsi="方正黑体_GBK" w:eastAsia="方正黑体_GBK" w:cs="方正黑体_GBK"/>
          <w:b/>
          <w:color w:val="auto"/>
          <w:sz w:val="32"/>
          <w:szCs w:val="32"/>
        </w:rPr>
        <w:t>、</w:t>
      </w:r>
      <w:r>
        <w:rPr>
          <w:rFonts w:hint="eastAsia" w:ascii="方正黑体_GBK" w:hAnsi="方正黑体_GBK" w:eastAsia="方正黑体_GBK" w:cs="方正黑体_GBK"/>
          <w:b/>
          <w:color w:val="auto"/>
          <w:sz w:val="32"/>
          <w:szCs w:val="32"/>
          <w:lang w:val="en-US" w:eastAsia="zh-CN"/>
        </w:rPr>
        <w:t>谈判</w:t>
      </w:r>
      <w:r>
        <w:rPr>
          <w:rFonts w:hint="eastAsia" w:ascii="方正黑体_GBK" w:hAnsi="方正黑体_GBK" w:eastAsia="方正黑体_GBK" w:cs="方正黑体_GBK"/>
          <w:b/>
          <w:color w:val="auto"/>
          <w:sz w:val="32"/>
          <w:szCs w:val="32"/>
        </w:rPr>
        <w:t>程序及方法</w:t>
      </w:r>
    </w:p>
    <w:p w14:paraId="7DC9B436">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bCs/>
          <w:snapToGrid w:val="0"/>
          <w:color w:val="auto"/>
          <w:sz w:val="32"/>
          <w:szCs w:val="32"/>
        </w:rPr>
      </w:pPr>
      <w:r>
        <w:rPr>
          <w:rFonts w:hint="eastAsia" w:ascii="方正仿宋_GBK" w:hAnsi="方正仿宋_GBK" w:eastAsia="方正仿宋_GBK" w:cs="方正仿宋_GBK"/>
          <w:bCs/>
          <w:snapToGrid w:val="0"/>
          <w:color w:val="auto"/>
          <w:sz w:val="32"/>
          <w:szCs w:val="32"/>
        </w:rPr>
        <w:t>（</w:t>
      </w:r>
      <w:r>
        <w:rPr>
          <w:rFonts w:hint="eastAsia" w:ascii="方正仿宋_GBK" w:hAnsi="方正仿宋_GBK" w:eastAsia="方正仿宋_GBK" w:cs="方正仿宋_GBK"/>
          <w:bCs/>
          <w:snapToGrid w:val="0"/>
          <w:color w:val="auto"/>
          <w:sz w:val="32"/>
          <w:szCs w:val="32"/>
          <w:lang w:val="en-US" w:eastAsia="zh-CN"/>
        </w:rPr>
        <w:t>一</w:t>
      </w:r>
      <w:r>
        <w:rPr>
          <w:rFonts w:hint="eastAsia" w:ascii="方正仿宋_GBK" w:hAnsi="方正仿宋_GBK" w:eastAsia="方正仿宋_GBK" w:cs="方正仿宋_GBK"/>
          <w:bCs/>
          <w:snapToGrid w:val="0"/>
          <w:color w:val="auto"/>
          <w:sz w:val="32"/>
          <w:szCs w:val="32"/>
        </w:rPr>
        <w:t>）</w:t>
      </w:r>
      <w:r>
        <w:rPr>
          <w:rFonts w:hint="eastAsia" w:ascii="方正仿宋_GBK" w:hAnsi="方正仿宋_GBK" w:eastAsia="方正仿宋_GBK" w:cs="方正仿宋_GBK"/>
          <w:bCs/>
          <w:snapToGrid w:val="0"/>
          <w:color w:val="auto"/>
          <w:sz w:val="32"/>
          <w:szCs w:val="32"/>
          <w:lang w:val="en-US" w:eastAsia="zh-CN"/>
        </w:rPr>
        <w:t>谈判</w:t>
      </w:r>
      <w:r>
        <w:rPr>
          <w:rFonts w:hint="eastAsia" w:ascii="方正仿宋_GBK" w:hAnsi="方正仿宋_GBK" w:eastAsia="方正仿宋_GBK" w:cs="方正仿宋_GBK"/>
          <w:bCs/>
          <w:snapToGrid w:val="0"/>
          <w:color w:val="auto"/>
          <w:sz w:val="32"/>
          <w:szCs w:val="32"/>
        </w:rPr>
        <w:t>程序</w:t>
      </w:r>
    </w:p>
    <w:p w14:paraId="5B90DEC7">
      <w:pPr>
        <w:keepNext w:val="0"/>
        <w:keepLines w:val="0"/>
        <w:pageBreakBefore w:val="0"/>
        <w:kinsoku/>
        <w:wordWrap/>
        <w:overflowPunct/>
        <w:topLinePunct w:val="0"/>
        <w:autoSpaceDE/>
        <w:autoSpaceDN/>
        <w:bidi w:val="0"/>
        <w:adjustRightInd/>
        <w:spacing w:line="594" w:lineRule="exact"/>
        <w:ind w:left="0" w:firstLine="960" w:firstLineChars="3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1.投标人签到。</w:t>
      </w:r>
    </w:p>
    <w:p w14:paraId="37B29331">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2.宣布谈判纪律，公布在投标截止时间前递交投标文件的投标人名称。</w:t>
      </w:r>
    </w:p>
    <w:p w14:paraId="3389C565">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3.检查投标文件的密封情况。</w:t>
      </w:r>
    </w:p>
    <w:p w14:paraId="522919DE">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4.随机开启投标文件，公布投标人名称、投标报价及其他内容，记录在表格上并由投标人确认签字。因投标人原因未签字确认，视为默认开标记录。</w:t>
      </w:r>
    </w:p>
    <w:p w14:paraId="6812A7F3">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5.评标小组对所有投标人投标总价进行评审。总报价高于最高限价的，不进入报价排序；总报价低于最高限价的按报价</w:t>
      </w:r>
      <w:r>
        <w:rPr>
          <w:rFonts w:hint="eastAsia" w:ascii="方正仿宋_GBK" w:hAnsi="方正仿宋_GBK" w:eastAsia="方正仿宋_GBK" w:cs="方正仿宋_GBK"/>
          <w:b/>
          <w:color w:val="auto"/>
          <w:sz w:val="32"/>
          <w:szCs w:val="32"/>
        </w:rPr>
        <w:t>由低到高</w:t>
      </w:r>
      <w:r>
        <w:rPr>
          <w:rFonts w:hint="eastAsia" w:ascii="方正仿宋_GBK" w:hAnsi="方正仿宋_GBK" w:eastAsia="方正仿宋_GBK" w:cs="方正仿宋_GBK"/>
          <w:color w:val="auto"/>
          <w:sz w:val="32"/>
          <w:szCs w:val="32"/>
        </w:rPr>
        <w:t>的顺序进行排序。</w:t>
      </w:r>
    </w:p>
    <w:p w14:paraId="33853676">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6.评标小组按前述报价排序由低到高依次对投标人的资格条件进行资格性、符合性审查。</w:t>
      </w:r>
    </w:p>
    <w:p w14:paraId="31F5F9DA">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7.若排名第一的投标人资格性、符合性审查合格，则排名第一的投标人为中标人；若排名第一的投标人资格性、符合性审查不合格，且排名第二的投标人资格性、符合性审查合格，则排名第二的投标人为中标人，以此类推，直至选出合格中标人。</w:t>
      </w:r>
    </w:p>
    <w:p w14:paraId="63497152">
      <w:pPr>
        <w:keepNext w:val="0"/>
        <w:keepLines w:val="0"/>
        <w:pageBreakBefore w:val="0"/>
        <w:kinsoku/>
        <w:wordWrap/>
        <w:overflowPunct/>
        <w:topLinePunct w:val="0"/>
        <w:autoSpaceDE/>
        <w:autoSpaceDN/>
        <w:bidi w:val="0"/>
        <w:adjustRightInd/>
        <w:spacing w:line="594" w:lineRule="exact"/>
        <w:ind w:left="0" w:firstLine="643"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注：</w:t>
      </w:r>
      <w:r>
        <w:rPr>
          <w:rFonts w:hint="eastAsia" w:ascii="方正仿宋_GBK" w:hAnsi="方正仿宋_GBK" w:eastAsia="方正仿宋_GBK" w:cs="方正仿宋_GBK"/>
          <w:color w:val="auto"/>
          <w:sz w:val="32"/>
          <w:szCs w:val="32"/>
        </w:rPr>
        <w:t>投标人应按谈判公告规定的时间和地点参加谈判并签到，否则其投标文件不得参与谈判。</w:t>
      </w:r>
    </w:p>
    <w:p w14:paraId="2F1514EC">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（二）谈判方法</w:t>
      </w:r>
    </w:p>
    <w:p w14:paraId="72C25FC9">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（1）评标小组的组建</w:t>
      </w:r>
    </w:p>
    <w:p w14:paraId="3DB465C0">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由招标人按法律法规及相关规定依法组建评标小组。</w:t>
      </w:r>
    </w:p>
    <w:p w14:paraId="1ED1DAF6">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（2）评标办法</w:t>
      </w:r>
    </w:p>
    <w:p w14:paraId="248F4476">
      <w:pPr>
        <w:keepNext w:val="0"/>
        <w:keepLines w:val="0"/>
        <w:pageBreakBefore w:val="0"/>
        <w:kinsoku/>
        <w:wordWrap/>
        <w:overflowPunct/>
        <w:topLinePunct w:val="0"/>
        <w:autoSpaceDE/>
        <w:autoSpaceDN/>
        <w:bidi w:val="0"/>
        <w:adjustRightInd/>
        <w:spacing w:line="594" w:lineRule="exact"/>
        <w:ind w:left="0" w:firstLine="643" w:firstLineChars="200"/>
        <w:jc w:val="both"/>
        <w:textAlignment w:val="auto"/>
        <w:rPr>
          <w:rFonts w:hint="eastAsia" w:ascii="方正仿宋_GBK" w:hAnsi="方正仿宋_GBK" w:eastAsia="方正仿宋_GBK" w:cs="方正仿宋_GBK"/>
          <w:b/>
          <w:color w:val="auto"/>
          <w:sz w:val="32"/>
          <w:szCs w:val="32"/>
          <w:u w:val="single"/>
        </w:rPr>
      </w:pPr>
      <w:r>
        <w:rPr>
          <w:rFonts w:hint="eastAsia" w:ascii="方正仿宋_GBK" w:hAnsi="方正仿宋_GBK" w:eastAsia="方正仿宋_GBK" w:cs="方正仿宋_GBK"/>
          <w:b/>
          <w:color w:val="auto"/>
          <w:sz w:val="32"/>
          <w:szCs w:val="32"/>
          <w:u w:val="single"/>
        </w:rPr>
        <w:t>1.本项目采用经评审的最低价法。</w:t>
      </w:r>
    </w:p>
    <w:p w14:paraId="2F61A6FC">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2.评标小组将资格性、符合性审查合格的投标人按报价（不高于最高限价）由低到高排序。</w:t>
      </w:r>
    </w:p>
    <w:p w14:paraId="67F76806">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资格性、符合性审查合格的投标人中，报价最低的为中标人。若出现投标人投标报价一致的，由评标小组按照资质的高低原则排序；若出现投标人资质也一致的，由投标人进行第二次报价，直至报价区分出高低，报价最低的为中标人。</w:t>
      </w:r>
    </w:p>
    <w:p w14:paraId="365CDA0C">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（3）评审标准</w:t>
      </w:r>
    </w:p>
    <w:p w14:paraId="25FFCAAC">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资格性、符合性审查内容：</w:t>
      </w:r>
    </w:p>
    <w:p w14:paraId="0C67CAA2">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1.资格性评审：投标人资格条件、信誉条件等。</w:t>
      </w:r>
    </w:p>
    <w:p w14:paraId="7C758395">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2.符合性评审：投标文件格式、投标文件密封、盖章齐全、报价是否符合谈判文件要求等。</w:t>
      </w:r>
    </w:p>
    <w:p w14:paraId="7D1D6FCD">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资格性、符合性审查中有任何一项不符合要求，其资格性、符合性审查不合格，不得成为中标人。</w:t>
      </w:r>
    </w:p>
    <w:p w14:paraId="797ADC65">
      <w:pPr>
        <w:keepNext w:val="0"/>
        <w:keepLines w:val="0"/>
        <w:pageBreakBefore w:val="0"/>
        <w:kinsoku/>
        <w:wordWrap/>
        <w:overflowPunct/>
        <w:topLinePunct w:val="0"/>
        <w:autoSpaceDE/>
        <w:autoSpaceDN/>
        <w:bidi w:val="0"/>
        <w:adjustRightInd/>
        <w:spacing w:line="594" w:lineRule="exact"/>
        <w:ind w:left="0" w:firstLine="643" w:firstLineChars="200"/>
        <w:jc w:val="both"/>
        <w:textAlignment w:val="auto"/>
        <w:rPr>
          <w:rFonts w:hint="eastAsia" w:ascii="方正黑体_GBK" w:hAnsi="方正黑体_GBK" w:eastAsia="方正黑体_GBK" w:cs="方正黑体_GBK"/>
          <w:b/>
          <w:color w:val="auto"/>
          <w:sz w:val="32"/>
          <w:szCs w:val="32"/>
        </w:rPr>
      </w:pPr>
      <w:r>
        <w:rPr>
          <w:rFonts w:hint="eastAsia" w:ascii="方正黑体_GBK" w:hAnsi="方正黑体_GBK" w:eastAsia="方正黑体_GBK" w:cs="方正黑体_GBK"/>
          <w:b/>
          <w:color w:val="auto"/>
          <w:sz w:val="32"/>
          <w:szCs w:val="32"/>
          <w:lang w:val="en-US" w:eastAsia="zh-CN"/>
        </w:rPr>
        <w:t>九</w:t>
      </w:r>
      <w:r>
        <w:rPr>
          <w:rFonts w:hint="eastAsia" w:ascii="方正黑体_GBK" w:hAnsi="方正黑体_GBK" w:eastAsia="方正黑体_GBK" w:cs="方正黑体_GBK"/>
          <w:b/>
          <w:color w:val="auto"/>
          <w:sz w:val="32"/>
          <w:szCs w:val="32"/>
        </w:rPr>
        <w:t>、中标人的确认</w:t>
      </w:r>
    </w:p>
    <w:p w14:paraId="4727A877">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rPr>
        <w:t>评审小组本着公开、公正、公平的原则，在按照比选标准比选结束后，比选结果在九龙现代产业集团网站（http://cqxpgyy.com/index/）上进行公示，公示期3天。</w:t>
      </w:r>
    </w:p>
    <w:p w14:paraId="0DE8D6C7">
      <w:pPr>
        <w:pStyle w:val="12"/>
        <w:keepNext w:val="0"/>
        <w:keepLines w:val="0"/>
        <w:pageBreakBefore w:val="0"/>
        <w:kinsoku/>
        <w:wordWrap/>
        <w:overflowPunct/>
        <w:topLinePunct w:val="0"/>
        <w:autoSpaceDE/>
        <w:autoSpaceDN/>
        <w:bidi w:val="0"/>
        <w:adjustRightInd/>
        <w:spacing w:after="0" w:line="594" w:lineRule="exact"/>
        <w:ind w:left="0" w:lef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（二）若公示期间未收到异议或投诉，招标人将在公示期结束后3日内以书面形式向中标人发出中标通知书。</w:t>
      </w:r>
    </w:p>
    <w:p w14:paraId="0AB21C37">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十</w:t>
      </w:r>
      <w:r>
        <w:rPr>
          <w:rFonts w:hint="eastAsia" w:ascii="方正黑体_GBK" w:hAnsi="方正黑体_GBK" w:eastAsia="方正黑体_GBK" w:cs="方正黑体_GBK"/>
          <w:color w:val="auto"/>
          <w:sz w:val="32"/>
          <w:szCs w:val="32"/>
        </w:rPr>
        <w:t>、合同签订</w:t>
      </w:r>
    </w:p>
    <w:p w14:paraId="19920D98">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招标人和中标人应当自中标通知书发出后按中标通知书要求，根据招标文件和中标人的投标文件订立书面合同。中标人无正当理不与招标人签订合同的，招标人取消其中标资格；给招标人造成的损失的，中标人应当赔偿。</w:t>
      </w:r>
    </w:p>
    <w:p w14:paraId="4CF16ACB">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十一</w:t>
      </w:r>
      <w:r>
        <w:rPr>
          <w:rFonts w:hint="eastAsia" w:ascii="方正黑体_GBK" w:hAnsi="方正黑体_GBK" w:eastAsia="方正黑体_GBK" w:cs="方正黑体_GBK"/>
          <w:color w:val="auto"/>
          <w:sz w:val="32"/>
          <w:szCs w:val="32"/>
        </w:rPr>
        <w:t>、弃标处理</w:t>
      </w:r>
    </w:p>
    <w:p w14:paraId="0D755657">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（一）在中标公示结束后三日内，中标人未按规定签订合同的，招标人将其列入重庆九龙现代数字科技有限公司信用黑名单，禁止在重庆九龙现代数字科技有限公司承揽相关业务。</w:t>
      </w:r>
    </w:p>
    <w:p w14:paraId="20DB3176">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（二）中标人放弃中标，给招标人造成损失的，应当赔偿，同时招标人将其列入重庆九龙现代数字科技有限公司信用黑名单，禁止在重庆九龙现代数字科技有限公司承揽相关业务。</w:t>
      </w:r>
    </w:p>
    <w:p w14:paraId="32577A83">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（三）中标人放弃或者被取消中标资格时，招标人可按投标人须知第三部分第二条“谈判程序及方法”确定的原则依次序确定中标人，也可以重新组织谈判。</w:t>
      </w:r>
    </w:p>
    <w:p w14:paraId="02A0BAA2">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十二</w:t>
      </w:r>
      <w:r>
        <w:rPr>
          <w:rFonts w:hint="eastAsia" w:ascii="方正黑体_GBK" w:hAnsi="方正黑体_GBK" w:eastAsia="方正黑体_GBK" w:cs="方正黑体_GBK"/>
          <w:color w:val="auto"/>
          <w:sz w:val="32"/>
          <w:szCs w:val="32"/>
        </w:rPr>
        <w:t>、重新招标</w:t>
      </w:r>
    </w:p>
    <w:p w14:paraId="114DD6BD">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有下列情形之一的，招标人将重新招标：</w:t>
      </w:r>
    </w:p>
    <w:p w14:paraId="291F2331">
      <w:pPr>
        <w:keepNext w:val="0"/>
        <w:keepLines w:val="0"/>
        <w:pageBreakBefore w:val="0"/>
        <w:numPr>
          <w:ilvl w:val="0"/>
          <w:numId w:val="1"/>
        </w:numPr>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投标截止时间止，投标人少于3个的；</w:t>
      </w:r>
    </w:p>
    <w:p w14:paraId="4D5E1F46">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（二）经评标小组评审后否决所有投标的；</w:t>
      </w:r>
    </w:p>
    <w:p w14:paraId="405F108F">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（三）法律法规规定的其他需重新招标的情形。</w:t>
      </w:r>
    </w:p>
    <w:p w14:paraId="1265B786">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十</w:t>
      </w:r>
      <w:r>
        <w:rPr>
          <w:rFonts w:hint="eastAsia" w:ascii="方正黑体_GBK" w:hAnsi="方正黑体_GBK" w:eastAsia="方正黑体_GBK" w:cs="方正黑体_GBK"/>
          <w:color w:val="auto"/>
          <w:sz w:val="32"/>
          <w:szCs w:val="32"/>
          <w:lang w:val="en-US" w:eastAsia="zh-CN"/>
        </w:rPr>
        <w:t>三</w:t>
      </w:r>
      <w:r>
        <w:rPr>
          <w:rFonts w:hint="eastAsia" w:ascii="方正黑体_GBK" w:hAnsi="方正黑体_GBK" w:eastAsia="方正黑体_GBK" w:cs="方正黑体_GBK"/>
          <w:color w:val="auto"/>
          <w:sz w:val="32"/>
          <w:szCs w:val="32"/>
        </w:rPr>
        <w:t>、其他</w:t>
      </w:r>
    </w:p>
    <w:p w14:paraId="720838EB">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除前文要求外，投标人发生以下条款情况之一时，视为无效投标，其投标文件将被拒绝：</w:t>
      </w:r>
    </w:p>
    <w:p w14:paraId="2EBAC690">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（一）投标人不符合规定的资格条件的；</w:t>
      </w:r>
    </w:p>
    <w:p w14:paraId="75C12BE5">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（二）投标人的法定代表人或其授权代表人未签到参加谈判的；</w:t>
      </w:r>
    </w:p>
    <w:p w14:paraId="3857120D">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（三）法定代表人为同一个人的两个及两个以上法人，母公司、全资子公司及其控股公司参与谈判的；</w:t>
      </w:r>
    </w:p>
    <w:p w14:paraId="00CB18E8">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（四）单位负责人为同一人或者存在直接控股、管理关系的不同投标人；</w:t>
      </w:r>
    </w:p>
    <w:p w14:paraId="77EB9DFA">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（五）投标人投标文件内容有与国家现行法律法规相违背的内容，或附有招标人无法接受的条件的。</w:t>
      </w:r>
    </w:p>
    <w:p w14:paraId="4EB6D182">
      <w:pPr>
        <w:rPr>
          <w:rFonts w:hint="eastAsia"/>
          <w:color w:val="auto"/>
        </w:rPr>
      </w:pPr>
    </w:p>
    <w:p w14:paraId="3CE59968">
      <w:pPr>
        <w:rPr>
          <w:rFonts w:hint="eastAsia" w:ascii="宋体" w:hAnsi="宋体"/>
          <w:b/>
          <w:color w:val="auto"/>
          <w:sz w:val="28"/>
          <w:szCs w:val="28"/>
        </w:rPr>
      </w:pPr>
      <w:bookmarkStart w:id="5" w:name="_GoBack"/>
      <w:bookmarkEnd w:id="5"/>
    </w:p>
    <w:p w14:paraId="50072BAA">
      <w:pPr>
        <w:rPr>
          <w:rFonts w:ascii="宋体" w:hAnsi="宋体"/>
          <w:b/>
          <w:color w:val="auto"/>
          <w:sz w:val="28"/>
          <w:szCs w:val="28"/>
        </w:rPr>
      </w:pPr>
      <w:r>
        <w:rPr>
          <w:rFonts w:hint="eastAsia" w:ascii="宋体" w:hAnsi="宋体"/>
          <w:b/>
          <w:color w:val="auto"/>
          <w:sz w:val="28"/>
          <w:szCs w:val="28"/>
        </w:rPr>
        <w:t>附</w:t>
      </w:r>
      <w:r>
        <w:rPr>
          <w:rFonts w:ascii="宋体" w:hAnsi="宋体"/>
          <w:b/>
          <w:color w:val="auto"/>
          <w:sz w:val="28"/>
          <w:szCs w:val="28"/>
        </w:rPr>
        <w:t>件</w:t>
      </w:r>
      <w:r>
        <w:rPr>
          <w:rFonts w:hint="eastAsia" w:ascii="宋体" w:hAnsi="宋体"/>
          <w:b/>
          <w:color w:val="auto"/>
          <w:sz w:val="28"/>
          <w:szCs w:val="28"/>
        </w:rPr>
        <w:t>1</w:t>
      </w:r>
    </w:p>
    <w:p w14:paraId="20D8A6C2">
      <w:pPr>
        <w:pStyle w:val="2"/>
        <w:jc w:val="center"/>
        <w:rPr>
          <w:rFonts w:ascii="宋体" w:hAnsi="宋体"/>
          <w:color w:val="auto"/>
          <w:sz w:val="28"/>
        </w:rPr>
      </w:pPr>
      <w:bookmarkStart w:id="0" w:name="_Toc277082643"/>
      <w:bookmarkStart w:id="1" w:name="_Toc224103495"/>
      <w:bookmarkStart w:id="2" w:name="_Toc333246452"/>
      <w:bookmarkStart w:id="3" w:name="_Toc287607867"/>
      <w:bookmarkStart w:id="4" w:name="_Toc369083107"/>
      <w:r>
        <w:rPr>
          <w:rFonts w:hint="eastAsia" w:ascii="宋体" w:hAnsi="宋体"/>
          <w:color w:val="auto"/>
          <w:sz w:val="28"/>
        </w:rPr>
        <w:t>（一）投标函</w:t>
      </w:r>
      <w:bookmarkEnd w:id="0"/>
      <w:bookmarkEnd w:id="1"/>
      <w:bookmarkEnd w:id="2"/>
      <w:bookmarkEnd w:id="3"/>
      <w:bookmarkEnd w:id="4"/>
    </w:p>
    <w:p w14:paraId="092C3D7C">
      <w:pPr>
        <w:tabs>
          <w:tab w:val="left" w:pos="2640"/>
        </w:tabs>
        <w:autoSpaceDE w:val="0"/>
        <w:autoSpaceDN w:val="0"/>
        <w:adjustRightInd w:val="0"/>
        <w:spacing w:line="220" w:lineRule="exact"/>
        <w:ind w:left="120" w:right="-20"/>
        <w:rPr>
          <w:rFonts w:ascii="宋体" w:hAnsi="宋体" w:cs="MingLiU"/>
          <w:snapToGrid w:val="0"/>
          <w:color w:val="auto"/>
          <w:szCs w:val="21"/>
        </w:rPr>
      </w:pPr>
      <w:r>
        <w:rPr>
          <w:rFonts w:ascii="宋体" w:hAnsi="宋体"/>
          <w:snapToGrid w:val="0"/>
          <w:color w:val="auto"/>
          <w:szCs w:val="21"/>
          <w:u w:val="single"/>
        </w:rPr>
        <w:tab/>
      </w:r>
      <w:r>
        <w:rPr>
          <w:rFonts w:hint="eastAsia" w:ascii="宋体" w:hAnsi="宋体" w:cs="MingLiU"/>
          <w:snapToGrid w:val="0"/>
          <w:color w:val="auto"/>
          <w:szCs w:val="21"/>
        </w:rPr>
        <w:t>（招标人名称）：</w:t>
      </w:r>
    </w:p>
    <w:p w14:paraId="5F1D06DD">
      <w:pPr>
        <w:autoSpaceDE w:val="0"/>
        <w:autoSpaceDN w:val="0"/>
        <w:adjustRightInd w:val="0"/>
        <w:spacing w:before="15" w:line="140" w:lineRule="exact"/>
        <w:rPr>
          <w:rFonts w:ascii="宋体" w:hAnsi="宋体" w:cs="MingLiU"/>
          <w:snapToGrid w:val="0"/>
          <w:color w:val="auto"/>
          <w:sz w:val="14"/>
          <w:szCs w:val="14"/>
        </w:rPr>
      </w:pPr>
    </w:p>
    <w:p w14:paraId="2048CF72">
      <w:pPr>
        <w:autoSpaceDE w:val="0"/>
        <w:autoSpaceDN w:val="0"/>
        <w:adjustRightInd w:val="0"/>
        <w:spacing w:line="200" w:lineRule="exact"/>
        <w:rPr>
          <w:rFonts w:ascii="宋体" w:hAnsi="宋体" w:cs="MingLiU"/>
          <w:snapToGrid w:val="0"/>
          <w:color w:val="auto"/>
          <w:sz w:val="20"/>
          <w:szCs w:val="20"/>
        </w:rPr>
      </w:pPr>
    </w:p>
    <w:p w14:paraId="3E96A483">
      <w:pPr>
        <w:autoSpaceDE w:val="0"/>
        <w:autoSpaceDN w:val="0"/>
        <w:adjustRightInd w:val="0"/>
        <w:spacing w:line="200" w:lineRule="exact"/>
        <w:rPr>
          <w:rFonts w:ascii="宋体" w:hAnsi="宋体" w:cs="MingLiU"/>
          <w:snapToGrid w:val="0"/>
          <w:color w:val="auto"/>
          <w:sz w:val="20"/>
          <w:szCs w:val="20"/>
        </w:rPr>
      </w:pPr>
    </w:p>
    <w:p w14:paraId="042A817D">
      <w:pPr>
        <w:tabs>
          <w:tab w:val="left" w:pos="2655"/>
          <w:tab w:val="left" w:pos="2760"/>
          <w:tab w:val="left" w:pos="4500"/>
          <w:tab w:val="left" w:pos="5715"/>
          <w:tab w:val="left" w:pos="6945"/>
          <w:tab w:val="left" w:pos="8505"/>
        </w:tabs>
        <w:autoSpaceDE w:val="0"/>
        <w:autoSpaceDN w:val="0"/>
        <w:adjustRightInd w:val="0"/>
        <w:spacing w:line="354" w:lineRule="auto"/>
        <w:ind w:left="120" w:leftChars="57" w:right="94" w:firstLine="420" w:firstLineChars="200"/>
        <w:rPr>
          <w:rFonts w:ascii="宋体" w:hAnsi="宋体" w:cs="MingLiU"/>
          <w:snapToGrid w:val="0"/>
          <w:color w:val="auto"/>
          <w:szCs w:val="21"/>
        </w:rPr>
      </w:pPr>
      <w:r>
        <w:rPr>
          <w:rFonts w:ascii="宋体" w:hAnsi="宋体"/>
          <w:snapToGrid w:val="0"/>
          <w:color w:val="auto"/>
          <w:szCs w:val="21"/>
        </w:rPr>
        <w:t>1</w:t>
      </w:r>
      <w:r>
        <w:rPr>
          <w:rFonts w:hint="eastAsia" w:ascii="宋体" w:hAnsi="宋体" w:cs="MingLiU"/>
          <w:snapToGrid w:val="0"/>
          <w:color w:val="auto"/>
          <w:szCs w:val="21"/>
        </w:rPr>
        <w:t>．我方已仔细研究了</w:t>
      </w:r>
      <w:r>
        <w:rPr>
          <w:rFonts w:hint="eastAsia" w:ascii="宋体" w:hAnsi="宋体" w:cs="MingLiU"/>
          <w:snapToGrid w:val="0"/>
          <w:color w:val="auto"/>
          <w:szCs w:val="21"/>
          <w:u w:val="single"/>
          <w:lang w:val="en-US" w:eastAsia="zh-CN"/>
        </w:rPr>
        <w:t xml:space="preserve">           </w:t>
      </w:r>
      <w:r>
        <w:rPr>
          <w:rFonts w:ascii="宋体" w:hAnsi="宋体"/>
          <w:snapToGrid w:val="0"/>
          <w:color w:val="auto"/>
          <w:szCs w:val="21"/>
          <w:u w:val="single"/>
        </w:rPr>
        <w:tab/>
      </w:r>
      <w:r>
        <w:rPr>
          <w:rFonts w:hint="eastAsia" w:ascii="宋体" w:hAnsi="宋体" w:cs="MingLiU"/>
          <w:snapToGrid w:val="0"/>
          <w:color w:val="auto"/>
          <w:szCs w:val="21"/>
        </w:rPr>
        <w:t>（项目名称）招标文件的全部内容，愿意以人民币</w:t>
      </w:r>
      <w:r>
        <w:rPr>
          <w:rFonts w:hint="eastAsia" w:ascii="宋体" w:hAnsi="宋体" w:cs="MingLiU"/>
          <w:snapToGrid w:val="0"/>
          <w:color w:val="auto"/>
          <w:szCs w:val="21"/>
          <w:u w:val="single"/>
          <w:lang w:val="en-US" w:eastAsia="zh-CN"/>
        </w:rPr>
        <w:t xml:space="preserve">            </w:t>
      </w:r>
      <w:r>
        <w:rPr>
          <w:rFonts w:hint="eastAsia" w:ascii="宋体" w:hAnsi="宋体" w:cs="MingLiU"/>
          <w:snapToGrid w:val="0"/>
          <w:color w:val="auto"/>
          <w:szCs w:val="21"/>
        </w:rPr>
        <w:t>元（大写：</w:t>
      </w:r>
      <w:r>
        <w:rPr>
          <w:rFonts w:hint="eastAsia" w:ascii="宋体" w:hAnsi="宋体" w:cs="MingLiU"/>
          <w:snapToGrid w:val="0"/>
          <w:color w:val="auto"/>
          <w:szCs w:val="21"/>
          <w:u w:val="single"/>
          <w:lang w:val="en-US" w:eastAsia="zh-CN"/>
        </w:rPr>
        <w:t xml:space="preserve">              </w:t>
      </w:r>
      <w:r>
        <w:rPr>
          <w:rFonts w:hint="eastAsia" w:ascii="宋体" w:hAnsi="宋体" w:cs="MingLiU"/>
          <w:snapToGrid w:val="0"/>
          <w:color w:val="auto"/>
          <w:szCs w:val="21"/>
        </w:rPr>
        <w:t>）的总</w:t>
      </w:r>
      <w:r>
        <w:rPr>
          <w:rFonts w:ascii="宋体" w:hAnsi="宋体" w:cs="MingLiU"/>
          <w:snapToGrid w:val="0"/>
          <w:color w:val="auto"/>
          <w:szCs w:val="21"/>
        </w:rPr>
        <w:t>价</w:t>
      </w:r>
      <w:r>
        <w:rPr>
          <w:rFonts w:hint="eastAsia" w:ascii="宋体" w:hAnsi="宋体" w:cs="MingLiU"/>
          <w:snapToGrid w:val="0"/>
          <w:color w:val="auto"/>
          <w:szCs w:val="21"/>
        </w:rPr>
        <w:t>作为本次投标的</w:t>
      </w:r>
      <w:r>
        <w:rPr>
          <w:rFonts w:hint="eastAsia" w:ascii="宋体" w:hAnsi="宋体"/>
          <w:color w:val="auto"/>
          <w:szCs w:val="21"/>
        </w:rPr>
        <w:t>总报</w:t>
      </w:r>
      <w:r>
        <w:rPr>
          <w:rFonts w:ascii="宋体" w:hAnsi="宋体"/>
          <w:color w:val="auto"/>
          <w:szCs w:val="21"/>
        </w:rPr>
        <w:t>价</w:t>
      </w:r>
      <w:r>
        <w:rPr>
          <w:rFonts w:hint="eastAsia" w:ascii="宋体" w:hAnsi="宋体"/>
          <w:color w:val="auto"/>
          <w:szCs w:val="21"/>
        </w:rPr>
        <w:t>，质量技术要求及验收方法：</w:t>
      </w:r>
      <w:r>
        <w:rPr>
          <w:rFonts w:hint="eastAsia" w:ascii="宋体" w:hAnsi="宋体"/>
          <w:color w:val="auto"/>
          <w:szCs w:val="21"/>
          <w:u w:val="single"/>
        </w:rPr>
        <w:t>满足</w:t>
      </w:r>
      <w:r>
        <w:rPr>
          <w:rFonts w:hint="eastAsia" w:ascii="宋体" w:hAnsi="宋体"/>
          <w:color w:val="auto"/>
          <w:szCs w:val="21"/>
          <w:u w:val="single"/>
          <w:lang w:val="en-US" w:eastAsia="zh-CN"/>
        </w:rPr>
        <w:t>竞争性谈判文件</w:t>
      </w:r>
      <w:r>
        <w:rPr>
          <w:rFonts w:hint="eastAsia" w:ascii="宋体" w:hAnsi="宋体"/>
          <w:color w:val="auto"/>
          <w:szCs w:val="21"/>
          <w:u w:val="single"/>
        </w:rPr>
        <w:t>要求</w:t>
      </w:r>
      <w:r>
        <w:rPr>
          <w:rFonts w:hint="eastAsia" w:ascii="宋体" w:hAnsi="宋体" w:cs="MingLiU"/>
          <w:snapToGrid w:val="0"/>
          <w:color w:val="auto"/>
          <w:szCs w:val="21"/>
        </w:rPr>
        <w:t>，工期</w:t>
      </w:r>
      <w:r>
        <w:rPr>
          <w:rFonts w:hint="eastAsia" w:ascii="宋体" w:hAnsi="宋体" w:cs="MingLiU"/>
          <w:snapToGrid w:val="0"/>
          <w:color w:val="auto"/>
          <w:szCs w:val="21"/>
          <w:u w:val="single"/>
          <w:lang w:val="en-US" w:eastAsia="zh-CN"/>
        </w:rPr>
        <w:t xml:space="preserve">     </w:t>
      </w:r>
      <w:r>
        <w:rPr>
          <w:rFonts w:ascii="宋体" w:hAnsi="宋体" w:cs="MingLiU"/>
          <w:snapToGrid w:val="0"/>
          <w:color w:val="auto"/>
          <w:szCs w:val="21"/>
        </w:rPr>
        <w:t>日历天。</w:t>
      </w:r>
    </w:p>
    <w:p w14:paraId="1E81AEE5">
      <w:pPr>
        <w:autoSpaceDE w:val="0"/>
        <w:autoSpaceDN w:val="0"/>
        <w:adjustRightInd w:val="0"/>
        <w:spacing w:before="15"/>
        <w:ind w:left="540" w:right="-20"/>
        <w:rPr>
          <w:rFonts w:ascii="宋体" w:hAnsi="宋体" w:cs="MingLiU"/>
          <w:snapToGrid w:val="0"/>
          <w:color w:val="auto"/>
          <w:szCs w:val="21"/>
        </w:rPr>
      </w:pPr>
      <w:r>
        <w:rPr>
          <w:rFonts w:ascii="宋体" w:hAnsi="宋体"/>
          <w:snapToGrid w:val="0"/>
          <w:color w:val="auto"/>
          <w:szCs w:val="21"/>
        </w:rPr>
        <w:t>2</w:t>
      </w:r>
      <w:r>
        <w:rPr>
          <w:rFonts w:hint="eastAsia" w:ascii="宋体" w:hAnsi="宋体" w:cs="MingLiU"/>
          <w:snapToGrid w:val="0"/>
          <w:color w:val="auto"/>
          <w:szCs w:val="21"/>
        </w:rPr>
        <w:t>．我方承诺在投标有效期内不修改、撤销投标文件。</w:t>
      </w:r>
    </w:p>
    <w:p w14:paraId="0998589E">
      <w:pPr>
        <w:autoSpaceDE w:val="0"/>
        <w:autoSpaceDN w:val="0"/>
        <w:adjustRightInd w:val="0"/>
        <w:spacing w:before="11" w:line="100" w:lineRule="exact"/>
        <w:rPr>
          <w:rFonts w:ascii="宋体" w:hAnsi="宋体" w:cs="MingLiU"/>
          <w:snapToGrid w:val="0"/>
          <w:color w:val="auto"/>
          <w:sz w:val="10"/>
          <w:szCs w:val="10"/>
        </w:rPr>
      </w:pPr>
    </w:p>
    <w:p w14:paraId="54AD9175">
      <w:pPr>
        <w:autoSpaceDE w:val="0"/>
        <w:autoSpaceDN w:val="0"/>
        <w:adjustRightInd w:val="0"/>
        <w:ind w:left="540" w:right="-20"/>
        <w:rPr>
          <w:rFonts w:ascii="宋体" w:hAnsi="宋体" w:cs="MingLiU"/>
          <w:snapToGrid w:val="0"/>
          <w:color w:val="auto"/>
          <w:szCs w:val="21"/>
        </w:rPr>
      </w:pPr>
      <w:r>
        <w:rPr>
          <w:rFonts w:ascii="宋体" w:hAnsi="宋体"/>
          <w:snapToGrid w:val="0"/>
          <w:color w:val="auto"/>
          <w:szCs w:val="21"/>
        </w:rPr>
        <w:t>3</w:t>
      </w:r>
      <w:r>
        <w:rPr>
          <w:rFonts w:hint="eastAsia" w:ascii="宋体" w:hAnsi="宋体" w:cs="MingLiU"/>
          <w:snapToGrid w:val="0"/>
          <w:color w:val="auto"/>
          <w:szCs w:val="21"/>
        </w:rPr>
        <w:t>．如我方中标：</w:t>
      </w:r>
    </w:p>
    <w:p w14:paraId="01C33ABF">
      <w:pPr>
        <w:autoSpaceDE w:val="0"/>
        <w:autoSpaceDN w:val="0"/>
        <w:adjustRightInd w:val="0"/>
        <w:spacing w:before="11" w:line="100" w:lineRule="exact"/>
        <w:rPr>
          <w:rFonts w:ascii="宋体" w:hAnsi="宋体" w:cs="MingLiU"/>
          <w:snapToGrid w:val="0"/>
          <w:color w:val="auto"/>
          <w:sz w:val="10"/>
          <w:szCs w:val="10"/>
        </w:rPr>
      </w:pPr>
    </w:p>
    <w:p w14:paraId="20499F15">
      <w:pPr>
        <w:autoSpaceDE w:val="0"/>
        <w:autoSpaceDN w:val="0"/>
        <w:adjustRightInd w:val="0"/>
        <w:ind w:right="-80" w:firstLine="945" w:firstLineChars="450"/>
        <w:rPr>
          <w:rFonts w:ascii="宋体" w:hAnsi="宋体" w:cs="MingLiU"/>
          <w:snapToGrid w:val="0"/>
          <w:color w:val="auto"/>
          <w:szCs w:val="21"/>
        </w:rPr>
      </w:pPr>
      <w:r>
        <w:rPr>
          <w:rFonts w:hint="eastAsia" w:ascii="宋体" w:hAnsi="宋体" w:cs="MingLiU"/>
          <w:snapToGrid w:val="0"/>
          <w:color w:val="auto"/>
          <w:szCs w:val="21"/>
        </w:rPr>
        <w:t>我方承诺在收到中标通知书后，在中标通知书规定的期限内与你方签订合同。</w:t>
      </w:r>
    </w:p>
    <w:p w14:paraId="7CC1CA96">
      <w:pPr>
        <w:autoSpaceDE w:val="0"/>
        <w:autoSpaceDN w:val="0"/>
        <w:adjustRightInd w:val="0"/>
        <w:spacing w:before="10" w:line="100" w:lineRule="exact"/>
        <w:rPr>
          <w:rFonts w:ascii="宋体" w:hAnsi="宋体" w:cs="MingLiU"/>
          <w:snapToGrid w:val="0"/>
          <w:color w:val="auto"/>
          <w:sz w:val="10"/>
          <w:szCs w:val="10"/>
        </w:rPr>
      </w:pPr>
    </w:p>
    <w:p w14:paraId="35BEA7E5">
      <w:pPr>
        <w:autoSpaceDE w:val="0"/>
        <w:autoSpaceDN w:val="0"/>
        <w:adjustRightInd w:val="0"/>
        <w:spacing w:before="10" w:line="100" w:lineRule="exact"/>
        <w:rPr>
          <w:rFonts w:ascii="宋体" w:hAnsi="宋体" w:cs="MingLiU"/>
          <w:snapToGrid w:val="0"/>
          <w:color w:val="auto"/>
          <w:sz w:val="10"/>
          <w:szCs w:val="10"/>
        </w:rPr>
      </w:pPr>
    </w:p>
    <w:p w14:paraId="57B62DBD">
      <w:pPr>
        <w:tabs>
          <w:tab w:val="left" w:pos="4940"/>
        </w:tabs>
        <w:autoSpaceDE w:val="0"/>
        <w:autoSpaceDN w:val="0"/>
        <w:adjustRightInd w:val="0"/>
        <w:ind w:left="540" w:right="-20"/>
        <w:rPr>
          <w:rFonts w:ascii="宋体" w:hAnsi="宋体" w:cs="MingLiU"/>
          <w:snapToGrid w:val="0"/>
          <w:color w:val="auto"/>
          <w:szCs w:val="21"/>
        </w:rPr>
      </w:pPr>
      <w:r>
        <w:rPr>
          <w:rFonts w:ascii="宋体" w:hAnsi="宋体"/>
          <w:snapToGrid w:val="0"/>
          <w:color w:val="auto"/>
          <w:szCs w:val="21"/>
        </w:rPr>
        <w:t>4</w:t>
      </w:r>
      <w:r>
        <w:rPr>
          <w:rFonts w:hint="eastAsia" w:ascii="宋体" w:hAnsi="宋体" w:cs="MingLiU"/>
          <w:snapToGrid w:val="0"/>
          <w:color w:val="auto"/>
          <w:szCs w:val="21"/>
        </w:rPr>
        <w:t>．</w:t>
      </w:r>
      <w:r>
        <w:rPr>
          <w:rFonts w:ascii="宋体" w:hAnsi="宋体"/>
          <w:snapToGrid w:val="0"/>
          <w:color w:val="auto"/>
          <w:szCs w:val="21"/>
          <w:u w:val="single"/>
        </w:rPr>
        <w:tab/>
      </w:r>
      <w:r>
        <w:rPr>
          <w:rFonts w:hint="eastAsia" w:ascii="宋体" w:hAnsi="宋体" w:cs="MingLiU"/>
          <w:snapToGrid w:val="0"/>
          <w:color w:val="auto"/>
          <w:szCs w:val="21"/>
        </w:rPr>
        <w:t>（其他补充说明）。</w:t>
      </w:r>
    </w:p>
    <w:p w14:paraId="22EED7FB">
      <w:pPr>
        <w:tabs>
          <w:tab w:val="left" w:pos="7140"/>
          <w:tab w:val="left" w:pos="7560"/>
          <w:tab w:val="left" w:pos="8300"/>
        </w:tabs>
        <w:autoSpaceDE w:val="0"/>
        <w:autoSpaceDN w:val="0"/>
        <w:adjustRightInd w:val="0"/>
        <w:spacing w:line="370" w:lineRule="auto"/>
        <w:ind w:right="210"/>
        <w:rPr>
          <w:rFonts w:ascii="宋体" w:hAnsi="宋体" w:cs="MingLiU"/>
          <w:snapToGrid w:val="0"/>
          <w:color w:val="auto"/>
          <w:szCs w:val="21"/>
        </w:rPr>
      </w:pPr>
    </w:p>
    <w:p w14:paraId="4CFF5343">
      <w:pPr>
        <w:tabs>
          <w:tab w:val="left" w:pos="7140"/>
          <w:tab w:val="left" w:pos="7560"/>
          <w:tab w:val="left" w:pos="8300"/>
        </w:tabs>
        <w:autoSpaceDE w:val="0"/>
        <w:autoSpaceDN w:val="0"/>
        <w:adjustRightInd w:val="0"/>
        <w:ind w:right="210"/>
        <w:rPr>
          <w:rFonts w:ascii="宋体" w:hAnsi="宋体" w:cs="MingLiU"/>
          <w:snapToGrid w:val="0"/>
          <w:color w:val="auto"/>
          <w:szCs w:val="21"/>
        </w:rPr>
      </w:pPr>
    </w:p>
    <w:p w14:paraId="071C9F31">
      <w:pPr>
        <w:tabs>
          <w:tab w:val="left" w:pos="7140"/>
          <w:tab w:val="left" w:pos="7560"/>
          <w:tab w:val="left" w:pos="8300"/>
        </w:tabs>
        <w:autoSpaceDE w:val="0"/>
        <w:autoSpaceDN w:val="0"/>
        <w:adjustRightInd w:val="0"/>
        <w:ind w:right="210" w:firstLine="1984" w:firstLineChars="945"/>
        <w:rPr>
          <w:rFonts w:hint="eastAsia" w:ascii="宋体" w:hAnsi="宋体" w:eastAsiaTheme="minorEastAsia"/>
          <w:snapToGrid w:val="0"/>
          <w:color w:val="auto"/>
          <w:szCs w:val="21"/>
          <w:lang w:eastAsia="zh-CN"/>
        </w:rPr>
      </w:pPr>
      <w:r>
        <w:rPr>
          <w:rFonts w:hint="eastAsia" w:ascii="宋体" w:hAnsi="宋体" w:cs="MingLiU"/>
          <w:snapToGrid w:val="0"/>
          <w:color w:val="auto"/>
          <w:szCs w:val="21"/>
        </w:rPr>
        <w:t>投标人：</w:t>
      </w:r>
      <w:r>
        <w:rPr>
          <w:rFonts w:hint="eastAsia" w:ascii="宋体" w:hAnsi="宋体" w:cs="MingLiU"/>
          <w:snapToGrid w:val="0"/>
          <w:color w:val="auto"/>
          <w:szCs w:val="21"/>
          <w:u w:val="single"/>
        </w:rPr>
        <w:t>　　　　　</w:t>
      </w:r>
      <w:r>
        <w:rPr>
          <w:rFonts w:hint="eastAsia" w:ascii="宋体" w:hAnsi="宋体" w:cs="MingLiU"/>
          <w:snapToGrid w:val="0"/>
          <w:color w:val="auto"/>
          <w:szCs w:val="21"/>
        </w:rPr>
        <w:t>（盖单位章）</w:t>
      </w:r>
    </w:p>
    <w:p w14:paraId="79605E61">
      <w:pPr>
        <w:tabs>
          <w:tab w:val="left" w:pos="7140"/>
          <w:tab w:val="left" w:pos="7560"/>
          <w:tab w:val="left" w:pos="8300"/>
        </w:tabs>
        <w:autoSpaceDE w:val="0"/>
        <w:autoSpaceDN w:val="0"/>
        <w:adjustRightInd w:val="0"/>
        <w:ind w:right="210" w:firstLine="1984" w:firstLineChars="945"/>
        <w:rPr>
          <w:rFonts w:ascii="宋体" w:hAnsi="宋体"/>
          <w:snapToGrid w:val="0"/>
          <w:color w:val="auto"/>
          <w:szCs w:val="21"/>
        </w:rPr>
      </w:pPr>
    </w:p>
    <w:p w14:paraId="02AB8DC8">
      <w:pPr>
        <w:tabs>
          <w:tab w:val="left" w:pos="7140"/>
          <w:tab w:val="left" w:pos="7560"/>
          <w:tab w:val="left" w:pos="8300"/>
        </w:tabs>
        <w:autoSpaceDE w:val="0"/>
        <w:autoSpaceDN w:val="0"/>
        <w:adjustRightInd w:val="0"/>
        <w:ind w:right="210" w:firstLine="1995" w:firstLineChars="950"/>
        <w:rPr>
          <w:rFonts w:hint="eastAsia" w:ascii="宋体" w:hAnsi="宋体" w:eastAsiaTheme="minorEastAsia"/>
          <w:snapToGrid w:val="0"/>
          <w:color w:val="auto"/>
          <w:szCs w:val="21"/>
          <w:lang w:eastAsia="zh-CN"/>
        </w:rPr>
      </w:pPr>
      <w:r>
        <w:rPr>
          <w:rFonts w:hint="eastAsia" w:ascii="宋体" w:hAnsi="宋体" w:cs="MingLiU"/>
          <w:snapToGrid w:val="0"/>
          <w:color w:val="auto"/>
          <w:szCs w:val="21"/>
        </w:rPr>
        <w:t>法定代表人或其委托代理人：（签字）</w:t>
      </w:r>
    </w:p>
    <w:p w14:paraId="57B9B0D8">
      <w:pPr>
        <w:tabs>
          <w:tab w:val="left" w:pos="7140"/>
          <w:tab w:val="left" w:pos="7560"/>
          <w:tab w:val="left" w:pos="8300"/>
        </w:tabs>
        <w:autoSpaceDE w:val="0"/>
        <w:autoSpaceDN w:val="0"/>
        <w:adjustRightInd w:val="0"/>
        <w:ind w:right="210" w:firstLine="1995" w:firstLineChars="950"/>
        <w:rPr>
          <w:rFonts w:ascii="宋体" w:hAnsi="宋体"/>
          <w:snapToGrid w:val="0"/>
          <w:color w:val="auto"/>
          <w:szCs w:val="21"/>
        </w:rPr>
      </w:pPr>
    </w:p>
    <w:p w14:paraId="77189E08">
      <w:pPr>
        <w:tabs>
          <w:tab w:val="left" w:pos="7035"/>
          <w:tab w:val="left" w:pos="7560"/>
          <w:tab w:val="left" w:pos="8300"/>
        </w:tabs>
        <w:autoSpaceDE w:val="0"/>
        <w:autoSpaceDN w:val="0"/>
        <w:adjustRightInd w:val="0"/>
        <w:ind w:right="210" w:firstLine="1984" w:firstLineChars="945"/>
        <w:rPr>
          <w:rFonts w:ascii="宋体" w:hAnsi="宋体" w:cs="MingLiU"/>
          <w:snapToGrid w:val="0"/>
          <w:color w:val="auto"/>
          <w:szCs w:val="21"/>
        </w:rPr>
      </w:pPr>
      <w:r>
        <w:rPr>
          <w:rFonts w:hint="eastAsia" w:ascii="宋体" w:hAnsi="宋体" w:cs="MingLiU"/>
          <w:snapToGrid w:val="0"/>
          <w:color w:val="auto"/>
          <w:szCs w:val="21"/>
        </w:rPr>
        <w:t>地址：</w:t>
      </w:r>
      <w:r>
        <w:rPr>
          <w:rFonts w:ascii="宋体" w:hAnsi="宋体"/>
          <w:snapToGrid w:val="0"/>
          <w:color w:val="auto"/>
          <w:szCs w:val="21"/>
          <w:u w:val="single"/>
        </w:rPr>
        <w:tab/>
      </w:r>
    </w:p>
    <w:p w14:paraId="74FCE830">
      <w:pPr>
        <w:autoSpaceDE w:val="0"/>
        <w:autoSpaceDN w:val="0"/>
        <w:adjustRightInd w:val="0"/>
        <w:spacing w:before="14"/>
        <w:rPr>
          <w:rFonts w:ascii="宋体" w:hAnsi="宋体" w:cs="MingLiU"/>
          <w:snapToGrid w:val="0"/>
          <w:color w:val="auto"/>
          <w:sz w:val="20"/>
          <w:szCs w:val="20"/>
        </w:rPr>
      </w:pPr>
    </w:p>
    <w:p w14:paraId="22EA4DDC">
      <w:pPr>
        <w:tabs>
          <w:tab w:val="left" w:pos="8300"/>
        </w:tabs>
        <w:autoSpaceDE w:val="0"/>
        <w:autoSpaceDN w:val="0"/>
        <w:adjustRightInd w:val="0"/>
        <w:ind w:left="1985" w:right="-20"/>
        <w:rPr>
          <w:rFonts w:ascii="宋体" w:hAnsi="宋体" w:cs="MingLiU"/>
          <w:snapToGrid w:val="0"/>
          <w:color w:val="auto"/>
          <w:szCs w:val="21"/>
        </w:rPr>
      </w:pPr>
      <w:r>
        <w:rPr>
          <w:rFonts w:hint="eastAsia" w:ascii="宋体" w:hAnsi="宋体" w:cs="MingLiU"/>
          <w:snapToGrid w:val="0"/>
          <w:color w:val="auto"/>
          <w:szCs w:val="21"/>
        </w:rPr>
        <w:t>电话：</w:t>
      </w:r>
      <w:r>
        <w:rPr>
          <w:rFonts w:hint="eastAsia" w:ascii="宋体" w:hAnsi="宋体"/>
          <w:snapToGrid w:val="0"/>
          <w:color w:val="auto"/>
          <w:szCs w:val="21"/>
          <w:u w:val="single"/>
        </w:rPr>
        <w:t>　　　　　　　　　　　　　　　　　　　　</w:t>
      </w:r>
    </w:p>
    <w:p w14:paraId="0F8BCD15">
      <w:pPr>
        <w:autoSpaceDE w:val="0"/>
        <w:autoSpaceDN w:val="0"/>
        <w:adjustRightInd w:val="0"/>
        <w:spacing w:before="13"/>
        <w:rPr>
          <w:rFonts w:ascii="宋体" w:hAnsi="宋体" w:cs="MingLiU"/>
          <w:snapToGrid w:val="0"/>
          <w:color w:val="auto"/>
          <w:sz w:val="20"/>
          <w:szCs w:val="20"/>
        </w:rPr>
      </w:pPr>
    </w:p>
    <w:p w14:paraId="4E85EBAC">
      <w:pPr>
        <w:tabs>
          <w:tab w:val="left" w:pos="8300"/>
        </w:tabs>
        <w:autoSpaceDE w:val="0"/>
        <w:autoSpaceDN w:val="0"/>
        <w:adjustRightInd w:val="0"/>
        <w:ind w:left="1985" w:right="-20"/>
        <w:rPr>
          <w:rFonts w:ascii="宋体" w:hAnsi="宋体" w:cs="MingLiU"/>
          <w:snapToGrid w:val="0"/>
          <w:color w:val="auto"/>
          <w:szCs w:val="21"/>
        </w:rPr>
      </w:pPr>
      <w:r>
        <w:rPr>
          <w:rFonts w:hint="eastAsia" w:ascii="宋体" w:hAnsi="宋体" w:cs="MingLiU"/>
          <w:snapToGrid w:val="0"/>
          <w:color w:val="auto"/>
          <w:szCs w:val="21"/>
        </w:rPr>
        <w:t>传真：</w:t>
      </w:r>
      <w:r>
        <w:rPr>
          <w:rFonts w:hint="eastAsia" w:ascii="宋体" w:hAnsi="宋体"/>
          <w:snapToGrid w:val="0"/>
          <w:color w:val="auto"/>
          <w:szCs w:val="21"/>
          <w:u w:val="single"/>
        </w:rPr>
        <w:t>　　　　　　　　　　　　　　　　　　　　</w:t>
      </w:r>
    </w:p>
    <w:p w14:paraId="044D2D11">
      <w:pPr>
        <w:tabs>
          <w:tab w:val="left" w:pos="8300"/>
        </w:tabs>
        <w:autoSpaceDE w:val="0"/>
        <w:autoSpaceDN w:val="0"/>
        <w:adjustRightInd w:val="0"/>
        <w:ind w:left="3796" w:right="-20"/>
        <w:rPr>
          <w:rFonts w:ascii="宋体" w:hAnsi="宋体" w:cs="MingLiU"/>
          <w:snapToGrid w:val="0"/>
          <w:color w:val="auto"/>
          <w:szCs w:val="21"/>
        </w:rPr>
      </w:pPr>
    </w:p>
    <w:p w14:paraId="012154B8">
      <w:pPr>
        <w:tabs>
          <w:tab w:val="left" w:pos="8300"/>
        </w:tabs>
        <w:autoSpaceDE w:val="0"/>
        <w:autoSpaceDN w:val="0"/>
        <w:adjustRightInd w:val="0"/>
        <w:ind w:left="1985" w:right="-20"/>
        <w:rPr>
          <w:rFonts w:ascii="宋体" w:hAnsi="宋体" w:cs="MingLiU"/>
          <w:snapToGrid w:val="0"/>
          <w:color w:val="auto"/>
          <w:sz w:val="20"/>
          <w:szCs w:val="20"/>
        </w:rPr>
      </w:pPr>
      <w:r>
        <w:rPr>
          <w:rFonts w:hint="eastAsia" w:ascii="宋体" w:hAnsi="宋体" w:cs="MingLiU"/>
          <w:snapToGrid w:val="0"/>
          <w:color w:val="auto"/>
          <w:szCs w:val="21"/>
        </w:rPr>
        <w:t>邮政编码：</w:t>
      </w:r>
      <w:r>
        <w:rPr>
          <w:rFonts w:hint="eastAsia" w:ascii="宋体" w:hAnsi="宋体" w:cs="MingLiU"/>
          <w:snapToGrid w:val="0"/>
          <w:color w:val="auto"/>
          <w:w w:val="200"/>
          <w:szCs w:val="21"/>
          <w:u w:val="single"/>
        </w:rPr>
        <w:t>　　　　　　　　　</w:t>
      </w:r>
    </w:p>
    <w:p w14:paraId="103D1784">
      <w:pPr>
        <w:autoSpaceDE w:val="0"/>
        <w:autoSpaceDN w:val="0"/>
        <w:adjustRightInd w:val="0"/>
        <w:rPr>
          <w:rFonts w:ascii="宋体" w:hAnsi="宋体" w:cs="MingLiU"/>
          <w:snapToGrid w:val="0"/>
          <w:color w:val="auto"/>
          <w:sz w:val="20"/>
          <w:szCs w:val="20"/>
        </w:rPr>
      </w:pPr>
    </w:p>
    <w:p w14:paraId="577D88B6">
      <w:pPr>
        <w:autoSpaceDE w:val="0"/>
        <w:autoSpaceDN w:val="0"/>
        <w:adjustRightInd w:val="0"/>
        <w:spacing w:before="14" w:line="240" w:lineRule="exact"/>
        <w:rPr>
          <w:rFonts w:ascii="宋体" w:hAnsi="宋体" w:cs="MingLiU"/>
          <w:snapToGrid w:val="0"/>
          <w:color w:val="auto"/>
          <w:sz w:val="24"/>
        </w:rPr>
      </w:pPr>
    </w:p>
    <w:p w14:paraId="690E28A3">
      <w:pPr>
        <w:tabs>
          <w:tab w:val="left" w:pos="6000"/>
          <w:tab w:val="left" w:pos="7040"/>
          <w:tab w:val="left" w:pos="8100"/>
        </w:tabs>
        <w:autoSpaceDE w:val="0"/>
        <w:autoSpaceDN w:val="0"/>
        <w:adjustRightInd w:val="0"/>
        <w:ind w:right="-20" w:firstLine="4924" w:firstLineChars="2345"/>
        <w:rPr>
          <w:rFonts w:ascii="宋体" w:hAnsi="宋体" w:cs="MingLiU"/>
          <w:snapToGrid w:val="0"/>
          <w:color w:val="auto"/>
          <w:szCs w:val="21"/>
        </w:rPr>
      </w:pPr>
      <w:r>
        <w:rPr>
          <w:rFonts w:hint="eastAsia" w:ascii="宋体" w:hAnsi="宋体" w:cs="MingLiU"/>
          <w:snapToGrid w:val="0"/>
          <w:color w:val="auto"/>
          <w:szCs w:val="21"/>
        </w:rPr>
        <w:t>年</w:t>
      </w:r>
      <w:r>
        <w:rPr>
          <w:rFonts w:hint="eastAsia" w:ascii="宋体" w:hAnsi="宋体" w:cs="MingLiU"/>
          <w:snapToGrid w:val="0"/>
          <w:color w:val="auto"/>
          <w:szCs w:val="21"/>
          <w:lang w:val="en-US" w:eastAsia="zh-CN"/>
        </w:rPr>
        <w:t xml:space="preserve">  </w:t>
      </w:r>
      <w:r>
        <w:rPr>
          <w:rFonts w:hint="eastAsia" w:ascii="宋体" w:hAnsi="宋体" w:cs="MingLiU"/>
          <w:snapToGrid w:val="0"/>
          <w:color w:val="auto"/>
          <w:szCs w:val="21"/>
        </w:rPr>
        <w:t>月</w:t>
      </w:r>
      <w:r>
        <w:rPr>
          <w:rFonts w:hint="eastAsia" w:ascii="宋体" w:hAnsi="宋体" w:cs="MingLiU"/>
          <w:snapToGrid w:val="0"/>
          <w:color w:val="auto"/>
          <w:szCs w:val="21"/>
          <w:lang w:val="en-US" w:eastAsia="zh-CN"/>
        </w:rPr>
        <w:t xml:space="preserve">  </w:t>
      </w:r>
      <w:r>
        <w:rPr>
          <w:rFonts w:hint="eastAsia" w:ascii="宋体" w:hAnsi="宋体" w:cs="MingLiU"/>
          <w:snapToGrid w:val="0"/>
          <w:color w:val="auto"/>
          <w:szCs w:val="21"/>
        </w:rPr>
        <w:t>日</w:t>
      </w:r>
    </w:p>
    <w:p w14:paraId="00DD21F1">
      <w:pPr>
        <w:rPr>
          <w:rFonts w:ascii="宋体" w:hAnsi="宋体"/>
          <w:color w:val="auto"/>
          <w:sz w:val="28"/>
          <w:szCs w:val="28"/>
        </w:rPr>
      </w:pPr>
    </w:p>
    <w:p w14:paraId="34588EBC">
      <w:pPr>
        <w:rPr>
          <w:rFonts w:ascii="宋体" w:hAnsi="宋体"/>
          <w:color w:val="auto"/>
          <w:sz w:val="28"/>
          <w:szCs w:val="28"/>
        </w:rPr>
      </w:pPr>
    </w:p>
    <w:p w14:paraId="01705423">
      <w:pPr>
        <w:rPr>
          <w:rFonts w:ascii="宋体" w:hAnsi="宋体"/>
          <w:color w:val="auto"/>
          <w:sz w:val="24"/>
          <w:szCs w:val="28"/>
        </w:rPr>
      </w:pPr>
      <w:r>
        <w:rPr>
          <w:rFonts w:ascii="宋体" w:hAnsi="宋体"/>
          <w:color w:val="auto"/>
          <w:sz w:val="28"/>
          <w:szCs w:val="28"/>
        </w:rPr>
        <w:t>注</w:t>
      </w:r>
      <w:r>
        <w:rPr>
          <w:rFonts w:hint="eastAsia" w:ascii="宋体" w:hAnsi="宋体"/>
          <w:color w:val="auto"/>
          <w:sz w:val="28"/>
          <w:szCs w:val="28"/>
        </w:rPr>
        <w:t>：</w:t>
      </w:r>
      <w:r>
        <w:rPr>
          <w:rFonts w:hint="eastAsia" w:ascii="宋体" w:hAnsi="宋体"/>
          <w:color w:val="auto"/>
          <w:sz w:val="24"/>
          <w:szCs w:val="28"/>
        </w:rPr>
        <w:t>大写金额和小写金额不一致时，以大写金额为准；</w:t>
      </w:r>
    </w:p>
    <w:p w14:paraId="40A3414C">
      <w:pPr>
        <w:rPr>
          <w:color w:val="auto"/>
          <w:sz w:val="28"/>
          <w:szCs w:val="28"/>
        </w:rPr>
      </w:pPr>
    </w:p>
    <w:p w14:paraId="6E8C1E9B">
      <w:pPr>
        <w:rPr>
          <w:color w:val="auto"/>
          <w:sz w:val="28"/>
          <w:szCs w:val="28"/>
        </w:rPr>
      </w:pPr>
    </w:p>
    <w:p w14:paraId="4E0C67E3">
      <w:pPr>
        <w:rPr>
          <w:color w:val="auto"/>
          <w:sz w:val="28"/>
          <w:szCs w:val="28"/>
        </w:rPr>
      </w:pPr>
    </w:p>
    <w:p w14:paraId="557C5E55">
      <w:pPr>
        <w:rPr>
          <w:rFonts w:ascii="宋体" w:hAnsi="宋体"/>
          <w:b/>
          <w:color w:val="auto"/>
          <w:sz w:val="28"/>
          <w:szCs w:val="28"/>
        </w:rPr>
      </w:pPr>
      <w:r>
        <w:rPr>
          <w:rFonts w:hint="eastAsia" w:ascii="宋体" w:hAnsi="宋体"/>
          <w:b/>
          <w:color w:val="auto"/>
          <w:sz w:val="28"/>
          <w:szCs w:val="28"/>
        </w:rPr>
        <w:t>附件</w:t>
      </w:r>
      <w:r>
        <w:rPr>
          <w:rFonts w:ascii="宋体" w:hAnsi="宋体"/>
          <w:b/>
          <w:color w:val="auto"/>
          <w:sz w:val="28"/>
          <w:szCs w:val="28"/>
        </w:rPr>
        <w:t>2</w:t>
      </w:r>
      <w:r>
        <w:rPr>
          <w:rFonts w:hint="eastAsia" w:ascii="宋体" w:hAnsi="宋体"/>
          <w:b/>
          <w:color w:val="auto"/>
          <w:sz w:val="28"/>
          <w:szCs w:val="28"/>
        </w:rPr>
        <w:t>：</w:t>
      </w:r>
    </w:p>
    <w:p w14:paraId="17560EAB">
      <w:pPr>
        <w:widowControl/>
        <w:ind w:firstLine="480" w:firstLineChars="200"/>
        <w:jc w:val="center"/>
        <w:rPr>
          <w:rFonts w:ascii="方正仿宋_GBK" w:hAnsi="宋体" w:eastAsia="方正仿宋_GBK"/>
          <w:color w:val="auto"/>
          <w:sz w:val="24"/>
        </w:rPr>
      </w:pPr>
      <w:r>
        <w:rPr>
          <w:rFonts w:hint="eastAsia" w:ascii="方正仿宋_GBK" w:hAnsi="宋体" w:eastAsia="方正仿宋_GBK"/>
          <w:color w:val="auto"/>
          <w:sz w:val="24"/>
        </w:rPr>
        <w:t>法定代表人身份证明书</w:t>
      </w:r>
    </w:p>
    <w:p w14:paraId="78E11D7B">
      <w:pPr>
        <w:tabs>
          <w:tab w:val="left" w:pos="6300"/>
        </w:tabs>
        <w:snapToGrid w:val="0"/>
        <w:spacing w:line="500" w:lineRule="exact"/>
        <w:ind w:firstLine="570"/>
        <w:rPr>
          <w:rFonts w:ascii="方正仿宋_GBK" w:hAnsi="宋体" w:eastAsia="方正仿宋_GBK"/>
          <w:color w:val="auto"/>
          <w:sz w:val="24"/>
        </w:rPr>
      </w:pPr>
    </w:p>
    <w:p w14:paraId="65A019E7">
      <w:pPr>
        <w:tabs>
          <w:tab w:val="left" w:pos="6300"/>
        </w:tabs>
        <w:snapToGrid w:val="0"/>
        <w:spacing w:line="500" w:lineRule="exact"/>
        <w:ind w:firstLine="570"/>
        <w:rPr>
          <w:rFonts w:hint="eastAsia" w:ascii="方正仿宋_GBK" w:hAnsi="宋体" w:eastAsia="方正仿宋_GBK"/>
          <w:color w:val="auto"/>
          <w:sz w:val="24"/>
          <w:u w:val="single"/>
          <w:lang w:eastAsia="zh-CN"/>
        </w:rPr>
      </w:pPr>
      <w:r>
        <w:rPr>
          <w:rFonts w:hint="eastAsia" w:ascii="方正仿宋_GBK" w:hAnsi="宋体" w:eastAsia="方正仿宋_GBK"/>
          <w:color w:val="auto"/>
          <w:sz w:val="24"/>
        </w:rPr>
        <w:t>项目名称：</w:t>
      </w:r>
    </w:p>
    <w:p w14:paraId="0970492B">
      <w:pPr>
        <w:tabs>
          <w:tab w:val="left" w:pos="6300"/>
        </w:tabs>
        <w:snapToGrid w:val="0"/>
        <w:spacing w:line="500" w:lineRule="exact"/>
        <w:ind w:firstLine="570"/>
        <w:rPr>
          <w:rFonts w:ascii="方正仿宋_GBK" w:hAnsi="宋体" w:eastAsia="方正仿宋_GBK"/>
          <w:color w:val="auto"/>
          <w:sz w:val="24"/>
          <w:u w:val="single"/>
        </w:rPr>
      </w:pPr>
    </w:p>
    <w:p w14:paraId="7297350F">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致：（招标</w:t>
      </w:r>
      <w:r>
        <w:rPr>
          <w:rFonts w:hint="eastAsia" w:ascii="方正仿宋_GBK" w:hAnsi="宋体" w:eastAsia="方正仿宋_GBK"/>
          <w:color w:val="auto"/>
          <w:sz w:val="24"/>
          <w:lang w:val="en-US" w:eastAsia="zh-CN"/>
        </w:rPr>
        <w:t>人</w:t>
      </w:r>
      <w:r>
        <w:rPr>
          <w:rFonts w:hint="eastAsia" w:ascii="方正仿宋_GBK" w:hAnsi="宋体" w:eastAsia="方正仿宋_GBK"/>
          <w:color w:val="auto"/>
          <w:sz w:val="24"/>
        </w:rPr>
        <w:t>名称）：</w:t>
      </w:r>
    </w:p>
    <w:p w14:paraId="5C339063">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（法定代表人姓名）在（投标人名称）任（职务名称）职务，是（投标人名称）的法定代表人。</w:t>
      </w:r>
    </w:p>
    <w:p w14:paraId="60BCC4CA">
      <w:pPr>
        <w:tabs>
          <w:tab w:val="left" w:pos="6300"/>
        </w:tabs>
        <w:snapToGrid w:val="0"/>
        <w:spacing w:line="500" w:lineRule="exact"/>
        <w:ind w:firstLine="570"/>
        <w:rPr>
          <w:rFonts w:ascii="方正仿宋_GBK" w:hAnsi="宋体" w:eastAsia="方正仿宋_GBK"/>
          <w:color w:val="auto"/>
          <w:sz w:val="24"/>
        </w:rPr>
      </w:pPr>
    </w:p>
    <w:p w14:paraId="6FB850F2">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特此证明。</w:t>
      </w:r>
    </w:p>
    <w:p w14:paraId="0F1D115E">
      <w:pPr>
        <w:tabs>
          <w:tab w:val="left" w:pos="6300"/>
        </w:tabs>
        <w:snapToGrid w:val="0"/>
        <w:spacing w:line="500" w:lineRule="exact"/>
        <w:ind w:firstLine="570"/>
        <w:rPr>
          <w:rFonts w:ascii="方正仿宋_GBK" w:hAnsi="宋体" w:eastAsia="方正仿宋_GBK"/>
          <w:color w:val="auto"/>
          <w:sz w:val="24"/>
        </w:rPr>
      </w:pPr>
    </w:p>
    <w:p w14:paraId="5F012A0A">
      <w:pPr>
        <w:tabs>
          <w:tab w:val="left" w:pos="6300"/>
        </w:tabs>
        <w:snapToGrid w:val="0"/>
        <w:spacing w:line="500" w:lineRule="exact"/>
        <w:ind w:firstLine="570"/>
        <w:rPr>
          <w:rFonts w:ascii="方正仿宋_GBK" w:hAnsi="宋体" w:eastAsia="方正仿宋_GBK"/>
          <w:color w:val="auto"/>
          <w:sz w:val="24"/>
        </w:rPr>
      </w:pPr>
    </w:p>
    <w:p w14:paraId="643A218A">
      <w:pPr>
        <w:tabs>
          <w:tab w:val="left" w:pos="6300"/>
        </w:tabs>
        <w:snapToGrid w:val="0"/>
        <w:spacing w:line="500" w:lineRule="exact"/>
        <w:ind w:firstLine="570"/>
        <w:rPr>
          <w:rFonts w:ascii="方正仿宋_GBK" w:hAnsi="宋体" w:eastAsia="方正仿宋_GBK"/>
          <w:color w:val="auto"/>
          <w:sz w:val="24"/>
        </w:rPr>
      </w:pPr>
    </w:p>
    <w:p w14:paraId="6CFC378E">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（投标人公章）</w:t>
      </w:r>
    </w:p>
    <w:p w14:paraId="09416457">
      <w:pPr>
        <w:tabs>
          <w:tab w:val="left" w:pos="6300"/>
        </w:tabs>
        <w:snapToGrid w:val="0"/>
        <w:spacing w:line="500" w:lineRule="exact"/>
        <w:ind w:firstLine="570"/>
        <w:rPr>
          <w:rFonts w:ascii="方正仿宋_GBK" w:hAnsi="宋体" w:eastAsia="方正仿宋_GBK"/>
          <w:color w:val="auto"/>
          <w:sz w:val="24"/>
        </w:rPr>
      </w:pPr>
    </w:p>
    <w:p w14:paraId="6BA63C5F">
      <w:pPr>
        <w:tabs>
          <w:tab w:val="left" w:pos="6300"/>
        </w:tabs>
        <w:snapToGrid w:val="0"/>
        <w:spacing w:line="500" w:lineRule="exact"/>
        <w:ind w:firstLine="1130" w:firstLineChars="471"/>
        <w:rPr>
          <w:rFonts w:ascii="方正仿宋_GBK" w:hAnsi="宋体" w:eastAsia="方正仿宋_GBK"/>
          <w:color w:val="auto"/>
          <w:sz w:val="24"/>
        </w:rPr>
      </w:pPr>
      <w:r>
        <w:rPr>
          <w:rFonts w:hint="eastAsia" w:ascii="方正仿宋_GBK" w:hAnsi="宋体" w:eastAsia="方正仿宋_GBK"/>
          <w:color w:val="auto"/>
          <w:sz w:val="24"/>
        </w:rPr>
        <w:t>年</w:t>
      </w:r>
      <w:r>
        <w:rPr>
          <w:rFonts w:hint="eastAsia" w:ascii="方正仿宋_GBK" w:hAnsi="宋体" w:eastAsia="方正仿宋_GBK"/>
          <w:color w:val="auto"/>
          <w:sz w:val="24"/>
          <w:lang w:val="en-US" w:eastAsia="zh-CN"/>
        </w:rPr>
        <w:t xml:space="preserve">  </w:t>
      </w:r>
      <w:r>
        <w:rPr>
          <w:rFonts w:hint="eastAsia" w:ascii="方正仿宋_GBK" w:hAnsi="宋体" w:eastAsia="方正仿宋_GBK"/>
          <w:color w:val="auto"/>
          <w:sz w:val="24"/>
        </w:rPr>
        <w:t>月</w:t>
      </w:r>
      <w:r>
        <w:rPr>
          <w:rFonts w:hint="eastAsia" w:ascii="方正仿宋_GBK" w:hAnsi="宋体" w:eastAsia="方正仿宋_GBK"/>
          <w:color w:val="auto"/>
          <w:sz w:val="24"/>
          <w:lang w:val="en-US" w:eastAsia="zh-CN"/>
        </w:rPr>
        <w:t xml:space="preserve">   </w:t>
      </w:r>
      <w:r>
        <w:rPr>
          <w:rFonts w:hint="eastAsia" w:ascii="方正仿宋_GBK" w:hAnsi="宋体" w:eastAsia="方正仿宋_GBK"/>
          <w:color w:val="auto"/>
          <w:sz w:val="24"/>
        </w:rPr>
        <w:t>日</w:t>
      </w:r>
    </w:p>
    <w:p w14:paraId="62B50D9A">
      <w:pPr>
        <w:tabs>
          <w:tab w:val="left" w:pos="6300"/>
        </w:tabs>
        <w:snapToGrid w:val="0"/>
        <w:spacing w:line="500" w:lineRule="exact"/>
        <w:ind w:firstLine="570"/>
        <w:rPr>
          <w:rFonts w:ascii="方正仿宋_GBK" w:hAnsi="宋体" w:eastAsia="方正仿宋_GBK"/>
          <w:color w:val="auto"/>
          <w:sz w:val="24"/>
        </w:rPr>
      </w:pPr>
    </w:p>
    <w:p w14:paraId="0A8A7D90">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（附：法定代表人身份证正反面复印件）</w:t>
      </w:r>
    </w:p>
    <w:p w14:paraId="2E889AF4">
      <w:pPr>
        <w:tabs>
          <w:tab w:val="left" w:pos="6300"/>
        </w:tabs>
        <w:snapToGrid w:val="0"/>
        <w:spacing w:line="500" w:lineRule="exact"/>
        <w:ind w:firstLine="570"/>
        <w:rPr>
          <w:rFonts w:ascii="方正仿宋_GBK" w:hAnsi="宋体" w:eastAsia="方正仿宋_GBK"/>
          <w:color w:val="auto"/>
          <w:sz w:val="24"/>
        </w:rPr>
      </w:pPr>
    </w:p>
    <w:p w14:paraId="7BFED667">
      <w:pPr>
        <w:tabs>
          <w:tab w:val="left" w:pos="6300"/>
        </w:tabs>
        <w:snapToGrid w:val="0"/>
        <w:spacing w:line="500" w:lineRule="exact"/>
        <w:ind w:firstLine="570"/>
        <w:rPr>
          <w:rFonts w:ascii="方正仿宋_GBK" w:hAnsi="宋体" w:eastAsia="方正仿宋_GBK"/>
          <w:color w:val="auto"/>
          <w:sz w:val="24"/>
        </w:rPr>
      </w:pPr>
    </w:p>
    <w:p w14:paraId="5E7F1BAD">
      <w:pPr>
        <w:tabs>
          <w:tab w:val="left" w:pos="6300"/>
        </w:tabs>
        <w:snapToGrid w:val="0"/>
        <w:spacing w:line="500" w:lineRule="exact"/>
        <w:ind w:firstLine="570"/>
        <w:rPr>
          <w:rFonts w:ascii="方正仿宋_GBK" w:hAnsi="宋体" w:eastAsia="方正仿宋_GBK"/>
          <w:color w:val="auto"/>
          <w:sz w:val="24"/>
        </w:rPr>
      </w:pPr>
    </w:p>
    <w:p w14:paraId="73196636">
      <w:pPr>
        <w:tabs>
          <w:tab w:val="left" w:pos="6300"/>
        </w:tabs>
        <w:snapToGrid w:val="0"/>
        <w:spacing w:line="500" w:lineRule="exact"/>
        <w:ind w:firstLine="570"/>
        <w:rPr>
          <w:rFonts w:ascii="方正仿宋_GBK" w:hAnsi="宋体" w:eastAsia="方正仿宋_GBK"/>
          <w:color w:val="auto"/>
          <w:sz w:val="24"/>
        </w:rPr>
      </w:pPr>
    </w:p>
    <w:p w14:paraId="153317BD">
      <w:pPr>
        <w:tabs>
          <w:tab w:val="left" w:pos="6300"/>
        </w:tabs>
        <w:snapToGrid w:val="0"/>
        <w:spacing w:line="500" w:lineRule="exact"/>
        <w:rPr>
          <w:rFonts w:ascii="方正仿宋_GBK" w:hAnsi="宋体" w:eastAsia="方正仿宋_GBK"/>
          <w:color w:val="auto"/>
          <w:sz w:val="24"/>
        </w:rPr>
      </w:pPr>
    </w:p>
    <w:p w14:paraId="7C52329F">
      <w:pPr>
        <w:tabs>
          <w:tab w:val="left" w:pos="6300"/>
        </w:tabs>
        <w:snapToGrid w:val="0"/>
        <w:spacing w:line="500" w:lineRule="exact"/>
        <w:ind w:firstLine="570"/>
        <w:jc w:val="center"/>
        <w:rPr>
          <w:rFonts w:ascii="方正仿宋_GBK" w:hAnsi="宋体" w:eastAsia="方正仿宋_GBK"/>
          <w:color w:val="auto"/>
          <w:sz w:val="24"/>
        </w:rPr>
      </w:pPr>
      <w:r>
        <w:rPr>
          <w:color w:val="auto"/>
          <w:sz w:val="24"/>
        </w:rPr>
        <w:br w:type="column"/>
      </w:r>
      <w:r>
        <w:rPr>
          <w:rFonts w:hint="eastAsia" w:ascii="方正仿宋_GBK" w:hAnsi="宋体" w:eastAsia="方正仿宋_GBK"/>
          <w:color w:val="auto"/>
          <w:sz w:val="24"/>
        </w:rPr>
        <w:t>法定代表人授权委托书</w:t>
      </w:r>
    </w:p>
    <w:p w14:paraId="1CA943B4">
      <w:pPr>
        <w:tabs>
          <w:tab w:val="left" w:pos="6300"/>
        </w:tabs>
        <w:snapToGrid w:val="0"/>
        <w:spacing w:line="500" w:lineRule="exact"/>
        <w:ind w:firstLine="570"/>
        <w:rPr>
          <w:rFonts w:hint="eastAsia" w:ascii="方正仿宋_GBK" w:hAnsi="宋体" w:eastAsia="方正仿宋_GBK"/>
          <w:color w:val="auto"/>
          <w:sz w:val="24"/>
          <w:lang w:eastAsia="zh-CN"/>
        </w:rPr>
      </w:pPr>
    </w:p>
    <w:p w14:paraId="738AC371">
      <w:pPr>
        <w:tabs>
          <w:tab w:val="left" w:pos="6300"/>
        </w:tabs>
        <w:snapToGrid w:val="0"/>
        <w:spacing w:line="500" w:lineRule="exact"/>
        <w:ind w:firstLine="480" w:firstLineChars="200"/>
        <w:rPr>
          <w:rFonts w:hint="eastAsia" w:ascii="方正仿宋_GBK" w:hAnsi="宋体" w:eastAsia="方正仿宋_GBK"/>
          <w:color w:val="auto"/>
          <w:sz w:val="24"/>
          <w:lang w:eastAsia="zh-CN"/>
        </w:rPr>
      </w:pPr>
      <w:r>
        <w:rPr>
          <w:rFonts w:hint="eastAsia" w:ascii="方正仿宋_GBK" w:hAnsi="宋体" w:eastAsia="方正仿宋_GBK"/>
          <w:color w:val="auto"/>
          <w:sz w:val="24"/>
        </w:rPr>
        <w:t>项目名称：</w:t>
      </w:r>
    </w:p>
    <w:p w14:paraId="3BFD5A62">
      <w:pPr>
        <w:tabs>
          <w:tab w:val="left" w:pos="6300"/>
        </w:tabs>
        <w:snapToGrid w:val="0"/>
        <w:spacing w:line="500" w:lineRule="exact"/>
        <w:ind w:firstLine="570"/>
        <w:rPr>
          <w:rFonts w:ascii="方正仿宋_GBK" w:hAnsi="宋体" w:eastAsia="方正仿宋_GBK"/>
          <w:color w:val="auto"/>
          <w:sz w:val="24"/>
        </w:rPr>
      </w:pPr>
    </w:p>
    <w:p w14:paraId="5A0AEDE2">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致：（招标人名称）：</w:t>
      </w:r>
    </w:p>
    <w:p w14:paraId="31F2A70A">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（投标人法定代表人名称）是（投标人名称）的法定代表人，特授权（被授权人姓名及身份证代码）代表我单位全权办理上述项目的</w:t>
      </w:r>
      <w:r>
        <w:rPr>
          <w:rFonts w:hint="eastAsia" w:ascii="方正仿宋_GBK" w:hAnsi="宋体" w:eastAsia="方正仿宋_GBK"/>
          <w:color w:val="auto"/>
          <w:sz w:val="24"/>
          <w:lang w:val="en-US" w:eastAsia="zh-CN"/>
        </w:rPr>
        <w:t>谈判</w:t>
      </w:r>
      <w:r>
        <w:rPr>
          <w:rFonts w:hint="eastAsia" w:ascii="方正仿宋_GBK" w:hAnsi="宋体" w:eastAsia="方正仿宋_GBK"/>
          <w:color w:val="auto"/>
          <w:sz w:val="24"/>
        </w:rPr>
        <w:t>、签约等具体工作，并签署全部有关文件、协议及合同。</w:t>
      </w:r>
    </w:p>
    <w:p w14:paraId="2C1634FA">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我单位对被授权人的签字负全部责任。</w:t>
      </w:r>
    </w:p>
    <w:p w14:paraId="72F9384B">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在撤消授权的书面通知以前，本授权书一直有效。被授权人在授权书有效期内签署的所有文件不因授权的撤消而失效。</w:t>
      </w:r>
    </w:p>
    <w:p w14:paraId="1E23C890">
      <w:pPr>
        <w:tabs>
          <w:tab w:val="left" w:pos="6300"/>
        </w:tabs>
        <w:snapToGrid w:val="0"/>
        <w:spacing w:line="500" w:lineRule="exact"/>
        <w:ind w:firstLine="570"/>
        <w:rPr>
          <w:rFonts w:ascii="方正仿宋_GBK" w:hAnsi="宋体" w:eastAsia="方正仿宋_GBK"/>
          <w:color w:val="auto"/>
          <w:sz w:val="24"/>
        </w:rPr>
      </w:pPr>
    </w:p>
    <w:p w14:paraId="3A45CC62">
      <w:pPr>
        <w:tabs>
          <w:tab w:val="left" w:pos="6300"/>
        </w:tabs>
        <w:snapToGrid w:val="0"/>
        <w:spacing w:line="500" w:lineRule="exact"/>
        <w:ind w:firstLine="570"/>
        <w:rPr>
          <w:rFonts w:ascii="方正仿宋_GBK" w:hAnsi="宋体" w:eastAsia="方正仿宋_GBK"/>
          <w:color w:val="auto"/>
          <w:sz w:val="24"/>
        </w:rPr>
      </w:pPr>
    </w:p>
    <w:p w14:paraId="62616665">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被授权人：</w:t>
      </w:r>
      <w:r>
        <w:rPr>
          <w:rFonts w:hint="eastAsia" w:ascii="方正仿宋_GBK" w:hAnsi="宋体" w:eastAsia="方正仿宋_GBK"/>
          <w:color w:val="auto"/>
          <w:sz w:val="24"/>
          <w:lang w:val="en-US" w:eastAsia="zh-CN"/>
        </w:rPr>
        <w:t xml:space="preserve">                 </w:t>
      </w:r>
      <w:r>
        <w:rPr>
          <w:rFonts w:hint="eastAsia" w:ascii="方正仿宋_GBK" w:hAnsi="宋体" w:eastAsia="方正仿宋_GBK"/>
          <w:color w:val="auto"/>
          <w:sz w:val="24"/>
        </w:rPr>
        <w:t>投标人法定代表人：</w:t>
      </w:r>
    </w:p>
    <w:p w14:paraId="2A3E916D">
      <w:pPr>
        <w:ind w:firstLine="240" w:firstLineChars="100"/>
        <w:rPr>
          <w:rFonts w:ascii="方正仿宋_GBK" w:hAnsi="宋体" w:eastAsia="方正仿宋_GBK"/>
          <w:color w:val="auto"/>
          <w:sz w:val="24"/>
        </w:rPr>
      </w:pPr>
      <w:r>
        <w:rPr>
          <w:rFonts w:hint="eastAsia" w:ascii="方正仿宋_GBK" w:hAnsi="宋体" w:eastAsia="方正仿宋_GBK"/>
          <w:color w:val="auto"/>
          <w:sz w:val="24"/>
        </w:rPr>
        <w:t>（签字或盖章）</w:t>
      </w:r>
      <w:r>
        <w:rPr>
          <w:rFonts w:hint="eastAsia" w:ascii="方正仿宋_GBK" w:hAnsi="宋体" w:eastAsia="方正仿宋_GBK"/>
          <w:color w:val="auto"/>
          <w:sz w:val="24"/>
          <w:lang w:val="en-US" w:eastAsia="zh-CN"/>
        </w:rPr>
        <w:t xml:space="preserve">                  </w:t>
      </w:r>
      <w:r>
        <w:rPr>
          <w:rFonts w:hint="eastAsia" w:ascii="方正仿宋_GBK" w:hAnsi="宋体" w:eastAsia="方正仿宋_GBK"/>
          <w:color w:val="auto"/>
          <w:sz w:val="24"/>
        </w:rPr>
        <w:t>（签字或盖章）</w:t>
      </w:r>
    </w:p>
    <w:p w14:paraId="402D8576">
      <w:pPr>
        <w:rPr>
          <w:rFonts w:ascii="方正仿宋_GBK" w:hAnsi="宋体" w:eastAsia="方正仿宋_GBK"/>
          <w:color w:val="auto"/>
          <w:sz w:val="24"/>
        </w:rPr>
      </w:pPr>
      <w:r>
        <w:rPr>
          <w:rFonts w:hint="eastAsia" w:ascii="方正仿宋_GBK" w:hAnsi="宋体" w:eastAsia="方正仿宋_GBK"/>
          <w:color w:val="auto"/>
          <w:sz w:val="24"/>
        </w:rPr>
        <w:t>附被</w:t>
      </w:r>
      <w:r>
        <w:rPr>
          <w:rFonts w:ascii="方正仿宋_GBK" w:hAnsi="宋体" w:eastAsia="方正仿宋_GBK"/>
          <w:color w:val="auto"/>
          <w:sz w:val="24"/>
        </w:rPr>
        <w:t>授权人身份证复印件</w:t>
      </w:r>
    </w:p>
    <w:p w14:paraId="7A2833DA">
      <w:pPr>
        <w:rPr>
          <w:rFonts w:ascii="方正仿宋_GBK" w:hAnsi="宋体" w:eastAsia="方正仿宋_GBK"/>
          <w:color w:val="auto"/>
          <w:sz w:val="24"/>
        </w:rPr>
      </w:pPr>
    </w:p>
    <w:p w14:paraId="37B12223">
      <w:pPr>
        <w:pStyle w:val="11"/>
        <w:rPr>
          <w:rFonts w:ascii="方正仿宋_GBK" w:hAnsi="宋体" w:eastAsia="方正仿宋_GBK"/>
          <w:color w:val="auto"/>
          <w:sz w:val="24"/>
        </w:rPr>
      </w:pPr>
    </w:p>
    <w:p w14:paraId="67330275">
      <w:pPr>
        <w:pStyle w:val="11"/>
        <w:rPr>
          <w:rFonts w:ascii="方正仿宋_GBK" w:hAnsi="宋体" w:eastAsia="方正仿宋_GBK"/>
          <w:color w:val="auto"/>
          <w:sz w:val="24"/>
        </w:rPr>
      </w:pPr>
    </w:p>
    <w:p w14:paraId="23F3671E">
      <w:pPr>
        <w:pStyle w:val="11"/>
        <w:rPr>
          <w:rFonts w:ascii="方正仿宋_GBK" w:hAnsi="宋体" w:eastAsia="方正仿宋_GBK"/>
          <w:color w:val="auto"/>
          <w:sz w:val="24"/>
        </w:rPr>
      </w:pPr>
    </w:p>
    <w:p w14:paraId="6DD80180">
      <w:pPr>
        <w:pStyle w:val="11"/>
        <w:rPr>
          <w:rFonts w:ascii="方正仿宋_GBK" w:hAnsi="宋体" w:eastAsia="方正仿宋_GBK"/>
          <w:color w:val="auto"/>
          <w:sz w:val="24"/>
        </w:rPr>
      </w:pPr>
    </w:p>
    <w:p w14:paraId="67208190">
      <w:pPr>
        <w:pStyle w:val="11"/>
        <w:rPr>
          <w:rFonts w:ascii="方正仿宋_GBK" w:hAnsi="宋体" w:eastAsia="方正仿宋_GBK"/>
          <w:color w:val="auto"/>
          <w:sz w:val="24"/>
        </w:rPr>
      </w:pPr>
    </w:p>
    <w:p w14:paraId="52E7085F">
      <w:pPr>
        <w:pStyle w:val="11"/>
        <w:rPr>
          <w:rFonts w:ascii="方正仿宋_GBK" w:hAnsi="宋体" w:eastAsia="方正仿宋_GBK"/>
          <w:color w:val="auto"/>
          <w:sz w:val="24"/>
        </w:rPr>
      </w:pPr>
    </w:p>
    <w:p w14:paraId="515524B9">
      <w:pPr>
        <w:rPr>
          <w:rFonts w:hint="eastAsia" w:ascii="宋体" w:hAnsi="宋体"/>
          <w:b/>
          <w:color w:val="auto"/>
          <w:sz w:val="28"/>
          <w:szCs w:val="28"/>
          <w:lang w:val="en-US" w:eastAsia="zh-CN"/>
        </w:rPr>
      </w:pPr>
    </w:p>
    <w:p w14:paraId="678C9335">
      <w:pPr>
        <w:rPr>
          <w:rFonts w:hint="eastAsia" w:ascii="宋体" w:hAnsi="宋体"/>
          <w:b/>
          <w:color w:val="auto"/>
          <w:sz w:val="28"/>
          <w:szCs w:val="28"/>
          <w:lang w:val="en-US" w:eastAsia="zh-CN"/>
        </w:rPr>
      </w:pPr>
      <w:r>
        <w:rPr>
          <w:rFonts w:hint="eastAsia" w:ascii="宋体" w:hAnsi="宋体"/>
          <w:b/>
          <w:color w:val="auto"/>
          <w:sz w:val="28"/>
          <w:szCs w:val="28"/>
          <w:lang w:val="en-US" w:eastAsia="zh-CN"/>
        </w:rPr>
        <w:t>附件3：</w:t>
      </w:r>
    </w:p>
    <w:p w14:paraId="3E3EFF15">
      <w:pPr>
        <w:jc w:val="center"/>
        <w:rPr>
          <w:rFonts w:hint="eastAsia" w:ascii="宋体" w:hAnsi="宋体"/>
          <w:b/>
          <w:color w:val="auto"/>
          <w:sz w:val="28"/>
          <w:szCs w:val="28"/>
          <w:lang w:val="en-US" w:eastAsia="zh-CN"/>
        </w:rPr>
      </w:pPr>
      <w:r>
        <w:rPr>
          <w:rFonts w:hint="eastAsia" w:ascii="宋体" w:hAnsi="宋体"/>
          <w:b/>
          <w:color w:val="auto"/>
          <w:sz w:val="28"/>
          <w:szCs w:val="28"/>
          <w:lang w:val="en-US" w:eastAsia="zh-CN"/>
        </w:rPr>
        <w:t>承诺书</w:t>
      </w:r>
    </w:p>
    <w:p w14:paraId="0C7BD4E3">
      <w:pPr>
        <w:tabs>
          <w:tab w:val="left" w:pos="2640"/>
        </w:tabs>
        <w:autoSpaceDE w:val="0"/>
        <w:autoSpaceDN w:val="0"/>
        <w:adjustRightInd w:val="0"/>
        <w:spacing w:line="220" w:lineRule="exact"/>
        <w:ind w:left="120" w:right="-20"/>
        <w:rPr>
          <w:rFonts w:ascii="宋体" w:hAnsi="宋体"/>
          <w:snapToGrid w:val="0"/>
          <w:color w:val="auto"/>
          <w:szCs w:val="21"/>
          <w:u w:val="single"/>
        </w:rPr>
      </w:pPr>
    </w:p>
    <w:p w14:paraId="0CBB1518">
      <w:pPr>
        <w:tabs>
          <w:tab w:val="left" w:pos="2655"/>
          <w:tab w:val="left" w:pos="2760"/>
          <w:tab w:val="left" w:pos="4500"/>
          <w:tab w:val="left" w:pos="5715"/>
          <w:tab w:val="left" w:pos="6945"/>
          <w:tab w:val="left" w:pos="8505"/>
        </w:tabs>
        <w:autoSpaceDE w:val="0"/>
        <w:autoSpaceDN w:val="0"/>
        <w:adjustRightInd w:val="0"/>
        <w:spacing w:line="354" w:lineRule="auto"/>
        <w:ind w:left="120" w:leftChars="57" w:right="94" w:firstLine="420" w:firstLineChars="200"/>
        <w:rPr>
          <w:rFonts w:hint="eastAsia" w:ascii="宋体" w:hAnsi="宋体" w:cs="MingLiU"/>
          <w:snapToGrid w:val="0"/>
          <w:color w:val="auto"/>
          <w:szCs w:val="21"/>
        </w:rPr>
      </w:pPr>
    </w:p>
    <w:p w14:paraId="2E880962">
      <w:pPr>
        <w:tabs>
          <w:tab w:val="left" w:pos="2655"/>
          <w:tab w:val="left" w:pos="2760"/>
          <w:tab w:val="left" w:pos="4500"/>
          <w:tab w:val="left" w:pos="5715"/>
          <w:tab w:val="left" w:pos="6945"/>
          <w:tab w:val="left" w:pos="8505"/>
        </w:tabs>
        <w:autoSpaceDE w:val="0"/>
        <w:autoSpaceDN w:val="0"/>
        <w:adjustRightInd w:val="0"/>
        <w:spacing w:line="480" w:lineRule="auto"/>
        <w:ind w:right="94"/>
        <w:jc w:val="left"/>
        <w:rPr>
          <w:rFonts w:hint="eastAsia" w:ascii="宋体" w:hAnsi="宋体" w:cs="MingLiU"/>
          <w:snapToGrid w:val="0"/>
          <w:color w:val="auto"/>
          <w:szCs w:val="21"/>
        </w:rPr>
      </w:pPr>
      <w:r>
        <w:rPr>
          <w:rFonts w:hint="eastAsia" w:ascii="宋体" w:hAnsi="宋体" w:cs="MingLiU"/>
          <w:snapToGrid w:val="0"/>
          <w:color w:val="auto"/>
          <w:szCs w:val="21"/>
          <w:u w:val="single"/>
        </w:rPr>
        <w:tab/>
      </w:r>
      <w:r>
        <w:rPr>
          <w:rFonts w:hint="eastAsia" w:ascii="宋体" w:hAnsi="宋体" w:cs="MingLiU"/>
          <w:snapToGrid w:val="0"/>
          <w:color w:val="auto"/>
          <w:szCs w:val="21"/>
        </w:rPr>
        <w:t>（招标人名称）：</w:t>
      </w:r>
    </w:p>
    <w:p w14:paraId="5E429080">
      <w:pPr>
        <w:spacing w:line="480" w:lineRule="auto"/>
        <w:jc w:val="left"/>
        <w:rPr>
          <w:rFonts w:hint="default" w:ascii="宋体" w:hAnsi="宋体" w:cs="MingLiU"/>
          <w:snapToGrid w:val="0"/>
          <w:color w:val="auto"/>
          <w:szCs w:val="21"/>
          <w:lang w:val="en-US" w:eastAsia="zh-CN"/>
        </w:rPr>
      </w:pPr>
      <w:r>
        <w:rPr>
          <w:rFonts w:hint="eastAsia" w:ascii="宋体" w:hAnsi="宋体" w:cs="MingLiU"/>
          <w:snapToGrid w:val="0"/>
          <w:color w:val="auto"/>
          <w:szCs w:val="21"/>
          <w:lang w:val="en-US" w:eastAsia="zh-CN"/>
        </w:rPr>
        <w:t xml:space="preserve">     我单位</w:t>
      </w:r>
      <w:r>
        <w:rPr>
          <w:rFonts w:hint="eastAsia" w:ascii="宋体" w:hAnsi="宋体" w:cs="MingLiU"/>
          <w:snapToGrid w:val="0"/>
          <w:color w:val="auto"/>
          <w:szCs w:val="21"/>
          <w:u w:val="single"/>
          <w:lang w:val="en-US" w:eastAsia="zh-CN"/>
        </w:rPr>
        <w:t xml:space="preserve">            </w:t>
      </w:r>
      <w:r>
        <w:rPr>
          <w:rFonts w:hint="eastAsia" w:ascii="宋体" w:hAnsi="宋体" w:cs="MingLiU"/>
          <w:snapToGrid w:val="0"/>
          <w:color w:val="auto"/>
          <w:szCs w:val="21"/>
          <w:lang w:val="en-US" w:eastAsia="zh-CN"/>
        </w:rPr>
        <w:t xml:space="preserve">（投标人全称）在充分理解 </w:t>
      </w:r>
      <w:r>
        <w:rPr>
          <w:rFonts w:hint="eastAsia" w:ascii="宋体" w:hAnsi="宋体" w:cs="MingLiU"/>
          <w:snapToGrid w:val="0"/>
          <w:color w:val="auto"/>
          <w:szCs w:val="21"/>
          <w:u w:val="single"/>
          <w:lang w:val="en-US" w:eastAsia="zh-CN"/>
        </w:rPr>
        <w:t xml:space="preserve">                   </w:t>
      </w:r>
      <w:r>
        <w:rPr>
          <w:rFonts w:hint="eastAsia" w:ascii="宋体" w:hAnsi="宋体" w:cs="MingLiU"/>
          <w:snapToGrid w:val="0"/>
          <w:color w:val="auto"/>
          <w:szCs w:val="21"/>
          <w:lang w:val="en-US" w:eastAsia="zh-CN"/>
        </w:rPr>
        <w:t>（项目名称）竞争性谈判文件要求的基础上，郑重作出如下承诺，并愿意承担相应的法律责任：</w:t>
      </w:r>
    </w:p>
    <w:p w14:paraId="3ACFA461">
      <w:pPr>
        <w:tabs>
          <w:tab w:val="left" w:pos="2655"/>
          <w:tab w:val="left" w:pos="2760"/>
          <w:tab w:val="left" w:pos="4500"/>
          <w:tab w:val="left" w:pos="5715"/>
          <w:tab w:val="left" w:pos="6945"/>
          <w:tab w:val="left" w:pos="8505"/>
        </w:tabs>
        <w:autoSpaceDE w:val="0"/>
        <w:autoSpaceDN w:val="0"/>
        <w:adjustRightInd w:val="0"/>
        <w:spacing w:line="480" w:lineRule="auto"/>
        <w:ind w:left="120" w:leftChars="57" w:right="94" w:firstLine="420" w:firstLineChars="200"/>
        <w:rPr>
          <w:rFonts w:hint="eastAsia" w:ascii="宋体" w:hAnsi="宋体" w:cs="MingLiU"/>
          <w:snapToGrid w:val="0"/>
          <w:color w:val="auto"/>
          <w:szCs w:val="21"/>
        </w:rPr>
      </w:pPr>
      <w:r>
        <w:rPr>
          <w:rFonts w:hint="eastAsia" w:ascii="宋体" w:hAnsi="宋体" w:cs="MingLiU"/>
          <w:snapToGrid w:val="0"/>
          <w:color w:val="auto"/>
          <w:szCs w:val="21"/>
        </w:rPr>
        <w:t>（</w:t>
      </w:r>
      <w:r>
        <w:rPr>
          <w:rFonts w:hint="eastAsia" w:ascii="宋体" w:hAnsi="宋体" w:cs="MingLiU"/>
          <w:snapToGrid w:val="0"/>
          <w:color w:val="auto"/>
          <w:szCs w:val="21"/>
          <w:lang w:val="en-US" w:eastAsia="zh-CN"/>
        </w:rPr>
        <w:t>一</w:t>
      </w:r>
      <w:r>
        <w:rPr>
          <w:rFonts w:hint="eastAsia" w:ascii="宋体" w:hAnsi="宋体" w:cs="MingLiU"/>
          <w:snapToGrid w:val="0"/>
          <w:color w:val="auto"/>
          <w:szCs w:val="21"/>
        </w:rPr>
        <w:t>）具有良好的商业信誉和健全的财务会计制度；</w:t>
      </w:r>
    </w:p>
    <w:p w14:paraId="5BDE79B0">
      <w:pPr>
        <w:tabs>
          <w:tab w:val="left" w:pos="2655"/>
          <w:tab w:val="left" w:pos="2760"/>
          <w:tab w:val="left" w:pos="4500"/>
          <w:tab w:val="left" w:pos="5715"/>
          <w:tab w:val="left" w:pos="6945"/>
          <w:tab w:val="left" w:pos="8505"/>
        </w:tabs>
        <w:autoSpaceDE w:val="0"/>
        <w:autoSpaceDN w:val="0"/>
        <w:adjustRightInd w:val="0"/>
        <w:spacing w:line="480" w:lineRule="auto"/>
        <w:ind w:left="120" w:leftChars="57" w:right="94" w:firstLine="420" w:firstLineChars="200"/>
        <w:rPr>
          <w:rFonts w:hint="eastAsia" w:ascii="宋体" w:hAnsi="宋体" w:cs="MingLiU"/>
          <w:snapToGrid w:val="0"/>
          <w:color w:val="auto"/>
          <w:szCs w:val="21"/>
        </w:rPr>
      </w:pPr>
      <w:r>
        <w:rPr>
          <w:rFonts w:hint="eastAsia" w:ascii="宋体" w:hAnsi="宋体" w:cs="MingLiU"/>
          <w:snapToGrid w:val="0"/>
          <w:color w:val="auto"/>
          <w:szCs w:val="21"/>
        </w:rPr>
        <w:t>（</w:t>
      </w:r>
      <w:r>
        <w:rPr>
          <w:rFonts w:hint="eastAsia" w:ascii="宋体" w:hAnsi="宋体" w:cs="MingLiU"/>
          <w:snapToGrid w:val="0"/>
          <w:color w:val="auto"/>
          <w:szCs w:val="21"/>
          <w:lang w:val="en-US" w:eastAsia="zh-CN"/>
        </w:rPr>
        <w:t>二</w:t>
      </w:r>
      <w:r>
        <w:rPr>
          <w:rFonts w:hint="eastAsia" w:ascii="宋体" w:hAnsi="宋体" w:cs="MingLiU"/>
          <w:snapToGrid w:val="0"/>
          <w:color w:val="auto"/>
          <w:szCs w:val="21"/>
        </w:rPr>
        <w:t>）具有履行合同所必需的设备和专业技术能力；</w:t>
      </w:r>
    </w:p>
    <w:p w14:paraId="3C34E2EE">
      <w:pPr>
        <w:tabs>
          <w:tab w:val="left" w:pos="2655"/>
          <w:tab w:val="left" w:pos="2760"/>
          <w:tab w:val="left" w:pos="4500"/>
          <w:tab w:val="left" w:pos="5715"/>
          <w:tab w:val="left" w:pos="6945"/>
          <w:tab w:val="left" w:pos="8505"/>
        </w:tabs>
        <w:autoSpaceDE w:val="0"/>
        <w:autoSpaceDN w:val="0"/>
        <w:adjustRightInd w:val="0"/>
        <w:spacing w:line="480" w:lineRule="auto"/>
        <w:ind w:left="120" w:leftChars="57" w:right="94" w:firstLine="420" w:firstLineChars="200"/>
        <w:rPr>
          <w:rFonts w:hint="eastAsia" w:ascii="宋体" w:hAnsi="宋体" w:cs="MingLiU"/>
          <w:snapToGrid w:val="0"/>
          <w:color w:val="auto"/>
          <w:szCs w:val="21"/>
        </w:rPr>
      </w:pPr>
      <w:r>
        <w:rPr>
          <w:rFonts w:hint="eastAsia" w:ascii="宋体" w:hAnsi="宋体" w:cs="MingLiU"/>
          <w:snapToGrid w:val="0"/>
          <w:color w:val="auto"/>
          <w:szCs w:val="21"/>
        </w:rPr>
        <w:t>（</w:t>
      </w:r>
      <w:r>
        <w:rPr>
          <w:rFonts w:hint="eastAsia" w:ascii="宋体" w:hAnsi="宋体" w:cs="MingLiU"/>
          <w:snapToGrid w:val="0"/>
          <w:color w:val="auto"/>
          <w:szCs w:val="21"/>
          <w:lang w:val="en-US" w:eastAsia="zh-CN"/>
        </w:rPr>
        <w:t>三</w:t>
      </w:r>
      <w:r>
        <w:rPr>
          <w:rFonts w:hint="eastAsia" w:ascii="宋体" w:hAnsi="宋体" w:cs="MingLiU"/>
          <w:snapToGrid w:val="0"/>
          <w:color w:val="auto"/>
          <w:szCs w:val="21"/>
        </w:rPr>
        <w:t>）有依法缴纳税收和社会保障金的良好记录；</w:t>
      </w:r>
    </w:p>
    <w:p w14:paraId="0E9AB685">
      <w:pPr>
        <w:tabs>
          <w:tab w:val="left" w:pos="2655"/>
          <w:tab w:val="left" w:pos="2760"/>
          <w:tab w:val="left" w:pos="4500"/>
          <w:tab w:val="left" w:pos="5715"/>
          <w:tab w:val="left" w:pos="6945"/>
          <w:tab w:val="left" w:pos="8505"/>
        </w:tabs>
        <w:autoSpaceDE w:val="0"/>
        <w:autoSpaceDN w:val="0"/>
        <w:adjustRightInd w:val="0"/>
        <w:spacing w:line="480" w:lineRule="auto"/>
        <w:ind w:left="120" w:leftChars="57" w:right="94" w:firstLine="420" w:firstLineChars="200"/>
        <w:rPr>
          <w:rFonts w:hint="eastAsia" w:ascii="宋体" w:hAnsi="宋体" w:cs="MingLiU"/>
          <w:snapToGrid w:val="0"/>
          <w:color w:val="auto"/>
          <w:szCs w:val="21"/>
        </w:rPr>
      </w:pPr>
      <w:r>
        <w:rPr>
          <w:rFonts w:hint="eastAsia" w:ascii="宋体" w:hAnsi="宋体" w:cs="MingLiU"/>
          <w:snapToGrid w:val="0"/>
          <w:color w:val="auto"/>
          <w:szCs w:val="21"/>
        </w:rPr>
        <w:t>（</w:t>
      </w:r>
      <w:r>
        <w:rPr>
          <w:rFonts w:hint="eastAsia" w:ascii="宋体" w:hAnsi="宋体" w:cs="MingLiU"/>
          <w:snapToGrid w:val="0"/>
          <w:color w:val="auto"/>
          <w:szCs w:val="21"/>
          <w:lang w:val="en-US" w:eastAsia="zh-CN"/>
        </w:rPr>
        <w:t>四</w:t>
      </w:r>
      <w:r>
        <w:rPr>
          <w:rFonts w:hint="eastAsia" w:ascii="宋体" w:hAnsi="宋体" w:cs="MingLiU"/>
          <w:snapToGrid w:val="0"/>
          <w:color w:val="auto"/>
          <w:szCs w:val="21"/>
        </w:rPr>
        <w:t>）参加采购活动前三年内，在经营活动中没有重大违法记录；</w:t>
      </w:r>
    </w:p>
    <w:p w14:paraId="770A0DC4">
      <w:pPr>
        <w:tabs>
          <w:tab w:val="left" w:pos="2655"/>
          <w:tab w:val="left" w:pos="2760"/>
          <w:tab w:val="left" w:pos="4500"/>
          <w:tab w:val="left" w:pos="5715"/>
          <w:tab w:val="left" w:pos="6945"/>
          <w:tab w:val="left" w:pos="8505"/>
        </w:tabs>
        <w:autoSpaceDE w:val="0"/>
        <w:autoSpaceDN w:val="0"/>
        <w:adjustRightInd w:val="0"/>
        <w:spacing w:line="480" w:lineRule="auto"/>
        <w:ind w:left="120" w:leftChars="57" w:right="94" w:firstLine="420" w:firstLineChars="200"/>
        <w:rPr>
          <w:rFonts w:hint="eastAsia" w:ascii="宋体" w:hAnsi="宋体" w:cs="MingLiU"/>
          <w:snapToGrid w:val="0"/>
          <w:color w:val="auto"/>
          <w:szCs w:val="21"/>
        </w:rPr>
      </w:pPr>
      <w:r>
        <w:rPr>
          <w:rFonts w:hint="eastAsia" w:ascii="宋体" w:hAnsi="宋体" w:cs="MingLiU"/>
          <w:snapToGrid w:val="0"/>
          <w:color w:val="auto"/>
          <w:szCs w:val="21"/>
        </w:rPr>
        <w:t>（</w:t>
      </w:r>
      <w:r>
        <w:rPr>
          <w:rFonts w:hint="eastAsia" w:ascii="宋体" w:hAnsi="宋体" w:cs="MingLiU"/>
          <w:snapToGrid w:val="0"/>
          <w:color w:val="auto"/>
          <w:szCs w:val="21"/>
          <w:lang w:val="en-US" w:eastAsia="zh-CN"/>
        </w:rPr>
        <w:t>五</w:t>
      </w:r>
      <w:r>
        <w:rPr>
          <w:rFonts w:hint="eastAsia" w:ascii="宋体" w:hAnsi="宋体" w:cs="MingLiU"/>
          <w:snapToGrid w:val="0"/>
          <w:color w:val="auto"/>
          <w:szCs w:val="21"/>
        </w:rPr>
        <w:t>）本次</w:t>
      </w:r>
      <w:r>
        <w:rPr>
          <w:rFonts w:hint="eastAsia" w:ascii="宋体" w:hAnsi="宋体" w:cs="MingLiU"/>
          <w:snapToGrid w:val="0"/>
          <w:color w:val="auto"/>
          <w:szCs w:val="21"/>
          <w:lang w:val="en-US" w:eastAsia="zh-CN"/>
        </w:rPr>
        <w:t>投</w:t>
      </w:r>
      <w:r>
        <w:rPr>
          <w:rFonts w:hint="eastAsia" w:ascii="宋体" w:hAnsi="宋体" w:cs="MingLiU"/>
          <w:snapToGrid w:val="0"/>
          <w:color w:val="auto"/>
          <w:szCs w:val="21"/>
        </w:rPr>
        <w:t>标不</w:t>
      </w:r>
      <w:r>
        <w:rPr>
          <w:rFonts w:hint="eastAsia" w:ascii="宋体" w:hAnsi="宋体" w:cs="MingLiU"/>
          <w:snapToGrid w:val="0"/>
          <w:color w:val="auto"/>
          <w:szCs w:val="21"/>
          <w:lang w:val="en-US" w:eastAsia="zh-CN"/>
        </w:rPr>
        <w:t>采用</w:t>
      </w:r>
      <w:r>
        <w:rPr>
          <w:rFonts w:hint="eastAsia" w:ascii="宋体" w:hAnsi="宋体" w:cs="MingLiU"/>
          <w:snapToGrid w:val="0"/>
          <w:color w:val="auto"/>
          <w:szCs w:val="21"/>
        </w:rPr>
        <w:t>联合体投标，中选后不分包、转包。</w:t>
      </w:r>
    </w:p>
    <w:p w14:paraId="2FE08E72">
      <w:pPr>
        <w:tabs>
          <w:tab w:val="left" w:pos="2655"/>
          <w:tab w:val="left" w:pos="2760"/>
          <w:tab w:val="left" w:pos="4500"/>
          <w:tab w:val="left" w:pos="5715"/>
          <w:tab w:val="left" w:pos="6945"/>
          <w:tab w:val="left" w:pos="8505"/>
        </w:tabs>
        <w:autoSpaceDE w:val="0"/>
        <w:autoSpaceDN w:val="0"/>
        <w:adjustRightInd w:val="0"/>
        <w:spacing w:line="480" w:lineRule="auto"/>
        <w:ind w:left="120" w:leftChars="57" w:right="94" w:firstLine="420" w:firstLineChars="200"/>
        <w:rPr>
          <w:rFonts w:hint="eastAsia" w:ascii="宋体" w:hAnsi="宋体" w:cs="MingLiU"/>
          <w:snapToGrid w:val="0"/>
          <w:color w:val="auto"/>
          <w:szCs w:val="21"/>
        </w:rPr>
      </w:pPr>
    </w:p>
    <w:p w14:paraId="4C67BA9E">
      <w:pPr>
        <w:tabs>
          <w:tab w:val="left" w:pos="7140"/>
          <w:tab w:val="left" w:pos="7560"/>
          <w:tab w:val="left" w:pos="8300"/>
        </w:tabs>
        <w:autoSpaceDE w:val="0"/>
        <w:autoSpaceDN w:val="0"/>
        <w:adjustRightInd w:val="0"/>
        <w:ind w:right="210" w:firstLine="1984" w:firstLineChars="945"/>
        <w:rPr>
          <w:rFonts w:hint="eastAsia" w:ascii="宋体" w:hAnsi="宋体" w:eastAsiaTheme="minorEastAsia"/>
          <w:snapToGrid w:val="0"/>
          <w:color w:val="auto"/>
          <w:szCs w:val="21"/>
          <w:lang w:eastAsia="zh-CN"/>
        </w:rPr>
      </w:pPr>
      <w:r>
        <w:rPr>
          <w:rFonts w:hint="eastAsia" w:ascii="宋体" w:hAnsi="宋体" w:cs="MingLiU"/>
          <w:snapToGrid w:val="0"/>
          <w:color w:val="auto"/>
          <w:szCs w:val="21"/>
          <w:lang w:val="en-US" w:eastAsia="zh-CN"/>
        </w:rPr>
        <w:t xml:space="preserve">                         </w:t>
      </w:r>
      <w:r>
        <w:rPr>
          <w:rFonts w:hint="eastAsia" w:ascii="宋体" w:hAnsi="宋体" w:cs="MingLiU"/>
          <w:snapToGrid w:val="0"/>
          <w:color w:val="auto"/>
          <w:szCs w:val="21"/>
        </w:rPr>
        <w:t>投标人：</w:t>
      </w:r>
      <w:r>
        <w:rPr>
          <w:rFonts w:hint="eastAsia" w:ascii="宋体" w:hAnsi="宋体" w:cs="MingLiU"/>
          <w:snapToGrid w:val="0"/>
          <w:color w:val="auto"/>
          <w:szCs w:val="21"/>
          <w:u w:val="single"/>
        </w:rPr>
        <w:t>　　</w:t>
      </w:r>
      <w:r>
        <w:rPr>
          <w:rFonts w:hint="eastAsia" w:ascii="宋体" w:hAnsi="宋体" w:cs="MingLiU"/>
          <w:snapToGrid w:val="0"/>
          <w:color w:val="auto"/>
          <w:szCs w:val="21"/>
          <w:u w:val="single"/>
          <w:lang w:val="en-US" w:eastAsia="zh-CN"/>
        </w:rPr>
        <w:t xml:space="preserve">      </w:t>
      </w:r>
      <w:r>
        <w:rPr>
          <w:rFonts w:hint="eastAsia" w:ascii="宋体" w:hAnsi="宋体" w:cs="MingLiU"/>
          <w:snapToGrid w:val="0"/>
          <w:color w:val="auto"/>
          <w:szCs w:val="21"/>
          <w:u w:val="single"/>
        </w:rPr>
        <w:t>　　　</w:t>
      </w:r>
      <w:r>
        <w:rPr>
          <w:rFonts w:hint="eastAsia" w:ascii="宋体" w:hAnsi="宋体" w:cs="MingLiU"/>
          <w:snapToGrid w:val="0"/>
          <w:color w:val="auto"/>
          <w:szCs w:val="21"/>
        </w:rPr>
        <w:t>（盖单位章）</w:t>
      </w:r>
    </w:p>
    <w:p w14:paraId="69614FB2">
      <w:pPr>
        <w:tabs>
          <w:tab w:val="left" w:pos="7140"/>
          <w:tab w:val="left" w:pos="7560"/>
          <w:tab w:val="left" w:pos="8300"/>
        </w:tabs>
        <w:autoSpaceDE w:val="0"/>
        <w:autoSpaceDN w:val="0"/>
        <w:adjustRightInd w:val="0"/>
        <w:ind w:right="210" w:firstLine="1984" w:firstLineChars="945"/>
        <w:rPr>
          <w:rFonts w:ascii="宋体" w:hAnsi="宋体"/>
          <w:snapToGrid w:val="0"/>
          <w:color w:val="auto"/>
          <w:szCs w:val="21"/>
        </w:rPr>
      </w:pPr>
    </w:p>
    <w:p w14:paraId="69CA1D9A">
      <w:pPr>
        <w:tabs>
          <w:tab w:val="left" w:pos="7140"/>
          <w:tab w:val="left" w:pos="7560"/>
          <w:tab w:val="left" w:pos="8300"/>
        </w:tabs>
        <w:autoSpaceDE w:val="0"/>
        <w:autoSpaceDN w:val="0"/>
        <w:adjustRightInd w:val="0"/>
        <w:ind w:right="210" w:firstLine="4515" w:firstLineChars="2150"/>
        <w:rPr>
          <w:rFonts w:hint="eastAsia" w:ascii="宋体" w:hAnsi="宋体" w:cs="MingLiU"/>
          <w:snapToGrid w:val="0"/>
          <w:color w:val="auto"/>
          <w:szCs w:val="21"/>
        </w:rPr>
      </w:pPr>
    </w:p>
    <w:p w14:paraId="56A0B60C">
      <w:pPr>
        <w:tabs>
          <w:tab w:val="left" w:pos="7140"/>
          <w:tab w:val="left" w:pos="7560"/>
          <w:tab w:val="left" w:pos="8300"/>
        </w:tabs>
        <w:autoSpaceDE w:val="0"/>
        <w:autoSpaceDN w:val="0"/>
        <w:adjustRightInd w:val="0"/>
        <w:ind w:right="210" w:firstLine="4515" w:firstLineChars="2150"/>
        <w:rPr>
          <w:rFonts w:hint="eastAsia" w:ascii="宋体" w:hAnsi="宋体" w:eastAsiaTheme="minorEastAsia"/>
          <w:snapToGrid w:val="0"/>
          <w:color w:val="auto"/>
          <w:szCs w:val="21"/>
          <w:lang w:eastAsia="zh-CN"/>
        </w:rPr>
      </w:pPr>
      <w:r>
        <w:rPr>
          <w:rFonts w:hint="eastAsia" w:ascii="宋体" w:hAnsi="宋体" w:cs="MingLiU"/>
          <w:snapToGrid w:val="0"/>
          <w:color w:val="auto"/>
          <w:szCs w:val="21"/>
        </w:rPr>
        <w:t>法定代表人或其委托代理人：（签字）</w:t>
      </w:r>
    </w:p>
    <w:p w14:paraId="061CE391">
      <w:pPr>
        <w:tabs>
          <w:tab w:val="left" w:pos="7140"/>
          <w:tab w:val="left" w:pos="7560"/>
          <w:tab w:val="left" w:pos="8300"/>
        </w:tabs>
        <w:autoSpaceDE w:val="0"/>
        <w:autoSpaceDN w:val="0"/>
        <w:adjustRightInd w:val="0"/>
        <w:ind w:right="210" w:firstLine="1995" w:firstLineChars="950"/>
        <w:rPr>
          <w:rFonts w:ascii="宋体" w:hAnsi="宋体"/>
          <w:snapToGrid w:val="0"/>
          <w:color w:val="auto"/>
          <w:szCs w:val="21"/>
        </w:rPr>
      </w:pPr>
    </w:p>
    <w:p w14:paraId="036078CF">
      <w:pPr>
        <w:autoSpaceDE w:val="0"/>
        <w:autoSpaceDN w:val="0"/>
        <w:adjustRightInd w:val="0"/>
        <w:spacing w:before="14" w:line="240" w:lineRule="exact"/>
        <w:rPr>
          <w:rFonts w:ascii="宋体" w:hAnsi="宋体" w:cs="MingLiU"/>
          <w:snapToGrid w:val="0"/>
          <w:color w:val="auto"/>
          <w:sz w:val="24"/>
        </w:rPr>
      </w:pPr>
    </w:p>
    <w:p w14:paraId="2C4A0820">
      <w:pPr>
        <w:tabs>
          <w:tab w:val="left" w:pos="6000"/>
          <w:tab w:val="left" w:pos="7040"/>
          <w:tab w:val="left" w:pos="8100"/>
        </w:tabs>
        <w:autoSpaceDE w:val="0"/>
        <w:autoSpaceDN w:val="0"/>
        <w:adjustRightInd w:val="0"/>
        <w:ind w:right="-20" w:firstLine="5974" w:firstLineChars="2845"/>
        <w:rPr>
          <w:rFonts w:ascii="宋体" w:hAnsi="宋体" w:cs="MingLiU"/>
          <w:snapToGrid w:val="0"/>
          <w:color w:val="auto"/>
          <w:szCs w:val="21"/>
        </w:rPr>
      </w:pPr>
      <w:r>
        <w:rPr>
          <w:rFonts w:hint="eastAsia" w:ascii="宋体" w:hAnsi="宋体" w:cs="MingLiU"/>
          <w:snapToGrid w:val="0"/>
          <w:color w:val="auto"/>
          <w:szCs w:val="21"/>
        </w:rPr>
        <w:t>年</w:t>
      </w:r>
      <w:r>
        <w:rPr>
          <w:rFonts w:hint="eastAsia" w:ascii="宋体" w:hAnsi="宋体" w:cs="MingLiU"/>
          <w:snapToGrid w:val="0"/>
          <w:color w:val="auto"/>
          <w:szCs w:val="21"/>
          <w:lang w:val="en-US" w:eastAsia="zh-CN"/>
        </w:rPr>
        <w:t xml:space="preserve">  </w:t>
      </w:r>
      <w:r>
        <w:rPr>
          <w:rFonts w:hint="eastAsia" w:ascii="宋体" w:hAnsi="宋体" w:cs="MingLiU"/>
          <w:snapToGrid w:val="0"/>
          <w:color w:val="auto"/>
          <w:szCs w:val="21"/>
        </w:rPr>
        <w:t>月</w:t>
      </w:r>
      <w:r>
        <w:rPr>
          <w:rFonts w:hint="eastAsia" w:ascii="宋体" w:hAnsi="宋体" w:cs="MingLiU"/>
          <w:snapToGrid w:val="0"/>
          <w:color w:val="auto"/>
          <w:szCs w:val="21"/>
          <w:lang w:val="en-US" w:eastAsia="zh-CN"/>
        </w:rPr>
        <w:t xml:space="preserve">  </w:t>
      </w:r>
      <w:r>
        <w:rPr>
          <w:rFonts w:hint="eastAsia" w:ascii="宋体" w:hAnsi="宋体" w:cs="MingLiU"/>
          <w:snapToGrid w:val="0"/>
          <w:color w:val="auto"/>
          <w:szCs w:val="21"/>
        </w:rPr>
        <w:t>日</w:t>
      </w:r>
    </w:p>
    <w:p w14:paraId="34CA7BE7">
      <w:pPr>
        <w:rPr>
          <w:rFonts w:hint="eastAsia" w:ascii="宋体" w:hAnsi="宋体"/>
          <w:b/>
          <w:color w:val="auto"/>
          <w:sz w:val="28"/>
          <w:szCs w:val="28"/>
          <w:lang w:val="en-US" w:eastAsia="zh-CN"/>
        </w:rPr>
      </w:pPr>
    </w:p>
    <w:p w14:paraId="104759DD">
      <w:pPr>
        <w:rPr>
          <w:rFonts w:hint="eastAsia" w:ascii="宋体" w:hAnsi="宋体"/>
          <w:b/>
          <w:color w:val="auto"/>
          <w:sz w:val="28"/>
          <w:szCs w:val="28"/>
          <w:lang w:val="en-US" w:eastAsia="zh-CN"/>
        </w:rPr>
      </w:pPr>
    </w:p>
    <w:p w14:paraId="17C687C5">
      <w:pPr>
        <w:rPr>
          <w:rFonts w:hint="eastAsia" w:ascii="宋体" w:hAnsi="宋体"/>
          <w:b/>
          <w:color w:val="auto"/>
          <w:sz w:val="28"/>
          <w:szCs w:val="28"/>
          <w:lang w:val="en-US" w:eastAsia="zh-CN"/>
        </w:rPr>
      </w:pPr>
    </w:p>
    <w:p w14:paraId="05575C60">
      <w:pPr>
        <w:rPr>
          <w:rFonts w:hint="eastAsia" w:ascii="宋体" w:hAnsi="宋体"/>
          <w:b/>
          <w:color w:val="auto"/>
          <w:sz w:val="28"/>
          <w:szCs w:val="28"/>
          <w:lang w:val="en-US" w:eastAsia="zh-CN"/>
        </w:rPr>
      </w:pPr>
    </w:p>
    <w:p w14:paraId="74B871E1">
      <w:pPr>
        <w:rPr>
          <w:rFonts w:hint="eastAsia" w:ascii="宋体" w:hAnsi="宋体"/>
          <w:b/>
          <w:color w:val="auto"/>
          <w:sz w:val="28"/>
          <w:szCs w:val="28"/>
          <w:lang w:val="en-US" w:eastAsia="zh-CN"/>
        </w:rPr>
      </w:pPr>
    </w:p>
    <w:p w14:paraId="373960F7">
      <w:pPr>
        <w:rPr>
          <w:rFonts w:hint="eastAsia" w:ascii="宋体" w:hAnsi="宋体"/>
          <w:b/>
          <w:color w:val="auto"/>
          <w:sz w:val="28"/>
          <w:szCs w:val="28"/>
          <w:lang w:val="en-US" w:eastAsia="zh-CN"/>
        </w:rPr>
      </w:pPr>
    </w:p>
    <w:p w14:paraId="3674F2D2">
      <w:pPr>
        <w:rPr>
          <w:rFonts w:hint="eastAsia" w:ascii="宋体" w:hAnsi="宋体"/>
          <w:b/>
          <w:color w:val="auto"/>
          <w:sz w:val="28"/>
          <w:szCs w:val="28"/>
          <w:lang w:val="en-US" w:eastAsia="zh-CN"/>
        </w:rPr>
      </w:pPr>
    </w:p>
    <w:p w14:paraId="40D4AE3B">
      <w:pPr>
        <w:rPr>
          <w:rFonts w:hint="default" w:ascii="宋体" w:hAnsi="宋体"/>
          <w:b/>
          <w:color w:val="auto"/>
          <w:sz w:val="28"/>
          <w:szCs w:val="28"/>
          <w:lang w:val="en-US" w:eastAsia="zh-CN"/>
        </w:rPr>
      </w:pPr>
      <w:r>
        <w:rPr>
          <w:rFonts w:hint="eastAsia" w:ascii="宋体" w:hAnsi="宋体"/>
          <w:b/>
          <w:color w:val="auto"/>
          <w:sz w:val="28"/>
          <w:szCs w:val="28"/>
          <w:lang w:val="en-US" w:eastAsia="zh-CN"/>
        </w:rPr>
        <w:t>附件4：</w:t>
      </w:r>
    </w:p>
    <w:p w14:paraId="073D8529">
      <w:pPr>
        <w:jc w:val="center"/>
        <w:rPr>
          <w:rFonts w:hint="eastAsia" w:ascii="方正仿宋_GBK" w:hAnsi="宋体" w:eastAsia="方正仿宋_GBK"/>
          <w:b/>
          <w:bCs/>
          <w:color w:val="auto"/>
          <w:sz w:val="24"/>
        </w:rPr>
      </w:pPr>
      <w:r>
        <w:rPr>
          <w:rFonts w:hint="eastAsia" w:ascii="方正仿宋_GBK" w:hAnsi="宋体" w:eastAsia="方正仿宋_GBK"/>
          <w:b/>
          <w:bCs/>
          <w:color w:val="auto"/>
          <w:sz w:val="24"/>
          <w:lang w:val="en-US" w:eastAsia="zh-CN"/>
        </w:rPr>
        <w:t>九龙现代产业集团2025年网络安全运维服务清单</w:t>
      </w:r>
    </w:p>
    <w:tbl>
      <w:tblPr>
        <w:tblStyle w:val="13"/>
        <w:tblW w:w="831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0"/>
        <w:gridCol w:w="873"/>
        <w:gridCol w:w="4675"/>
        <w:gridCol w:w="830"/>
        <w:gridCol w:w="1222"/>
      </w:tblGrid>
      <w:tr w14:paraId="7B5F4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D54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序号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F7A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服务分项</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4D8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服务概述</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118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数量</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D82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投标报价（元）</w:t>
            </w:r>
          </w:p>
        </w:tc>
      </w:tr>
      <w:tr w14:paraId="7A79D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BA4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B9B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网络资产梳理及规划服务</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1EC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通过对集团内部机房线路、设备、安全策略、资产信息进行台账整理管理（包括梳理互联网出口、专网出口、网络区域划分情况、网络-安全-服务器等设备接口连接情况、IP规划情况等），对现有的信息资产情况进行了解，更好的提供系统的运行维护服务。2.资产指纹梳理：对内网、互联网端口及服务进行测绘，如：端口、服务等。3.网络安全架构及规划设计包含顶层设计技术咨询与安全规划、专项技术路线设计，规划设计范围覆盖但不限于：网络安全专项设计、终端 接入安全专项设计、应用安全专项设计、数据安全专项设计、业务安全专项设计、身份安全专项设计、系统安全专项设计、密码安全专项设计、个人信息保护安全专项设计等专项技术领域设计。4.业务应用探测：不同WEB容器识别，如：Apache、tomcat、Weblogic、WebSphere和Nginx等；多种服务端语言探测，如：PHP、JSP、ASP、ASPX和.NET等；WEB前端框架探测，如：jQuery、Bootstrap、HTML5等；WEB后端开发框架探测，如：Django、Rails、ThinkPHP、Struts等； WEB业务应用探测，如：BBS、CMS和BLOG等。</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 xml:space="preserve">5.云上资产审计：根据上云状况对存在云端的重要系统、自查进行统计，梳理出云上资产信息以方便开展后续工作（此项在签署合同时应注明甲方、云厂商的配合工作，提供我单位云上资产的相关权限）。 </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服务频率：全年2次，每半年1次。</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输出材料：《资产管理清单》、《网络拓扑图》</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160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1项</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EFF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lang w:val="en-US"/>
              </w:rPr>
            </w:pPr>
          </w:p>
        </w:tc>
      </w:tr>
      <w:tr w14:paraId="2855A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9AC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A64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安全基线核查服务</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69D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依据业界主流基线标准，对招标人重要信息系统相关网络设备、安全设备的配置以及业务系统中应用程序的配置情况进行核查，判断是否符合安全性要求，是否存在安全风险和隐患，并能根据不同业务系统的要求，提供相应等级的设置建议。</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2.基线核查范围：服务器、应用系统、数据库、中间件、网络设备、安全设备。</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服务频率：全年2次，每半年一次。</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交付材料：《基线核查报告》</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0ED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1项</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D7E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lang w:val="en-US"/>
              </w:rPr>
            </w:pPr>
          </w:p>
        </w:tc>
      </w:tr>
      <w:tr w14:paraId="22068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F9F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CC2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网络风险评估服务</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EEB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依据相关规范，在业主方允许的情况下，对目标范围内的系统资产、威胁、脆弱性等各方面进行评估，对主要资产的风险进行定性或定量的脆弱性风险分析，描述不同资产的风险高低状况，给出详细的风险评估报告、整改方案及技术支撑。</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服务频率：全年4次，每季度1次。</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交付材料：《网络风险评估报告》</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C7D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1项</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C85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rPr>
            </w:pPr>
          </w:p>
        </w:tc>
      </w:tr>
      <w:tr w14:paraId="02380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2"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871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CDB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网络安全巡检服务</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2EB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1.对重要的信息系统服务器、核心网络设备及安全设备进行设备健康状态检查、策略配置维护等服务；</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2.根据安全策略检查与维护情况，提交检查与维护记录；</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3.安全巡检服务范围包括安全设备、服务器安全状况等；</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4.巡检工作结束后，围绕本次的巡检工作，总结此次发现的问题，针对问题提出相应的处置方法与建议；</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服务频率：全年4次，每季度1次。</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输出材料：《季度、日常巡检报告》</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21F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1年</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71E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rPr>
            </w:pPr>
          </w:p>
        </w:tc>
      </w:tr>
      <w:tr w14:paraId="1F86E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8"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582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C94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扫描渗透服务</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023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依据相关规范，通过远程或者现场方式使用专业的漏洞扫描工具对信息系统进行全面漏洞扫描工作，为安全加固提供安全建议。</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漏洞扫描工具需满足以下要求：</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1）具备资产探测梳理、主机漏洞扫描、网站漏洞扫描、基线配置核查等，支持二级域名扫描功能，输入一级域名进行一键扫描，通过搜索互联网数据，自动获取到该域名的二级域名、网站标题、解析IP地址（提供工具界面截图证明）；</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（2）支持IP反查域名监测，输入IP或者网段，通过搜索互联网数据，自动获取到IP对应的域名、url链接、网站标题、返回状态码（提供工具界面截图证明）；</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（3）支持漏洞利用证明，通过POC验证过的漏洞，扫描结果需包含漏洞利用证明，包括但不限于攻击Payload、目标响应结果、漏洞利用点、关键参数等内容（提供工具界面截图证明）；</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4）支持渗透测试台账，支持以excel报表格式导入渗透测试报告，形成渗透测试台账。可在系统查看渗透测试结果，以图表形式可视化展现漏洞风险级别比例、风险应用比例，可对渗透报告中的漏洞进行跟踪确认，处置漏洞状态：未整改、已整改、忽略、未整改（提供工具界面截图证明）</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服务频率：全年4次，每季度1次。</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交付材料：《漏洞扫描渗透报告》</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584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1年</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F6E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rPr>
            </w:pPr>
          </w:p>
        </w:tc>
      </w:tr>
      <w:tr w14:paraId="5378D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8"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838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680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安全加固服务</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29B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针对安全服务过程中发现的各类安全问题，按照风险等级进行划分，给出解决方案，及时协调对应供应商进行加固整改和安全优化。对于不能修复的漏洞，提供详细情况说明。</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1、加固范围：基于风险评估、渗透测试、漏洞扫描、基线核查、安全巡检结果进行针对性整改。</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2、对于设备老旧、影响业务连续性、特殊原因等导致的无法直接进行加固的情况可通过在安全设备上增加策略，封禁端口，增加其他自定义规则的方法完成加固。</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3、对服务过程中已发现的问题提出加固建议，整改方案，方法，意见，技术措施等并协助供应链厂商进行加固。</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4、对于无供应链厂商的情况可主动提供加固服务，加固内容包含安全设备、主机、应用系统、数据库、中间件等。</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5、对未能实施加固（残余风险）的风险项进行详细说明，并提出安全补救措施和安全专家建议，为管理人员的后期维护提供参考。</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6、本项为专业安全服务，涉及面广，技术要求高，需配备项目负责人一名，同时具有CCIE网络、RHCE系统、OCP数据库、IBM存储专家等国际主流技术资质（需同时提供人员资质证书复印件并加盖投标人公章）。</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服务频率：全年4次，每季度1次。</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交付材料：《安全加固报告》</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979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1年</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453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rPr>
            </w:pPr>
          </w:p>
        </w:tc>
      </w:tr>
      <w:tr w14:paraId="29D63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44C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D7E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应急演练服务</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F40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为全面做好2025年-2026年集团网络安全保障工作，确保重要信息系统和网络的安全稳定运行，切实落实单位突发事件的防范和应急处理工作，提高单位预防和控制网络突发事件的能力和水平，减轻或消除突发事件的危害和影响，依据《国家网络与信息安全事件应急预案》，并结合我区信息系统现状，制订演练方案。包括提供服务器，攻击测试环境搭建，脚本编写，剧本编写，明确演练目标以及参加演练的系统；演练前做好各项准备工作，并对参加演练的相关人员进行必要的培训，保证演练达到预期目的。</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服务频率：一年一次。</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输出材料：《应急演练脚本》</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EF3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1项</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DBC5">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000000"/>
                <w:sz w:val="24"/>
                <w:szCs w:val="24"/>
                <w:u w:val="none"/>
              </w:rPr>
            </w:pPr>
          </w:p>
        </w:tc>
      </w:tr>
      <w:tr w14:paraId="77B18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ED0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F63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网络安全监测服务</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551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对单位进行7*24小时监测（含互联网）。针对业主方打造的 SaaS 应用，协助业主方管理全单位资产及风险的 SaaS 化订阅服务。可实现对单位的IP、端口、服务、漏洞、安全风险、违规内容、不合规资产等进行周期性监控，支持多维度分析单位安全等级。利用可视化性能数据、告警通知、量化的评分机制，帮助管理员了解安全态势，及时收敛攻击面，处理违规事件，减少安全隐患，降低通报风险。人员要求：供应商投入本项目团队人员至少具有2名人员获得IT 控制框架 COBIT 认证能力证书（提供资质复印件并加盖投标人公章）。</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服务频率：7*24小时。</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891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1年</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DF48">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000000"/>
                <w:sz w:val="24"/>
                <w:szCs w:val="24"/>
                <w:u w:val="none"/>
              </w:rPr>
            </w:pPr>
          </w:p>
        </w:tc>
      </w:tr>
      <w:tr w14:paraId="243DC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299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970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应急响应服务</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633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当发生外部黑客入侵、数据泄露、木马病毒等突发安全事件时，提供7*24应急服务。服务内容包括事件检测与分析、风险抑制、问题根除、协助业务恢复等服务，最大化降低安全事件带来的影响。</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1、网络安全事件范围包含：web安全事件、恶意程序事件、网络攻击事件、信息破坏事件。</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2、应急服务工作开展范围：</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（1）招标人单位确实发生了第“1”条中列举范围内的重大网络安全事件，根据招标人单位已有的或我单位事先制定好的《网络安全事件应急预案》进行应急响应处置。</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（2）互联网上暴露出的核弹级重大漏洞（如：log4j、spring cloud function RCE），需要紧急自查。</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（3）应急响应成功处置后必须进行残留风险横向排查，防止其他主机遭受本次事件的影响。</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服务频率：一年内按需执行。</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交付材料：《网络安全事件响应处置报告》</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4DA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1年</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2D51">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方正仿宋_GBK" w:hAnsi="方正仿宋_GBK" w:eastAsia="方正仿宋_GBK" w:cs="方正仿宋_GBK"/>
                <w:i w:val="0"/>
                <w:iCs w:val="0"/>
                <w:color w:val="000000"/>
                <w:sz w:val="24"/>
                <w:szCs w:val="24"/>
                <w:u w:val="none"/>
              </w:rPr>
            </w:pPr>
          </w:p>
        </w:tc>
      </w:tr>
      <w:tr w14:paraId="621EA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83F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D4F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下属集团合规检查</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C526">
            <w:pP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根据提供的企业清单，开展企业现场网络信息安全和数据保护评估测试，评估内容包括但不限于企业网络信息安全防护能力、数据分类分级管理、数据安全性保护能力等，以及重点被查系统的安全漏洞情况，通过现场评测够较为清晰地了解企业当前所面临的安全风险和重要信息系统的安全现状。协助单位对下属国有企业开展制度专项检查工作，主要对《网络安全法》《个人信息保护法》《数据安全法》及网络安全工作责任制落实工作指标等工作制度检查。本项目为专业安全服务，供应商至少有一名具有工信部颁发的高级网络信息安全工程师并具有数据安全能力成熟度模型测评师（DSMM)资质证书。（提供资质复印件并加盖投标人公章）。</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2、服务范围：下属重点企业单位</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3、服务频次：1年不低于1次</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FCB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1年</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FE7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rPr>
            </w:pPr>
          </w:p>
        </w:tc>
      </w:tr>
      <w:tr w14:paraId="15495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B01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66F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信息与网络安全管理平台</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D4A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为满足招标人对安全服务的日常监督和管理，投标人提供SAAS云化安全监管类服务平台为招标人进行服务管理。需达到如下要求：</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A、系统需分配给招标人专业的账户密码，以方便业主方能够随时上传下载服务商的所有实施和服务材料。支持安全服务驾驶舱，展示各项服务开展进度，包括定级评估、安全运维、安全培训、安全评估、数据安全、安全运营等，为招标人提供服务决策（提供证明截图并加盖投标人公章）。</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B、支持项目内容管理：包含所有服务完成情况、服务期限、服务工单等基本信息查看（提供证明截图并加盖投标人公章）。</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C、同一个用户多个项目，要求能够展示所有项目数据。</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D、提供国家版权局颁发的《计算机软件著作权登记证》。（提供资质复印件并加盖投标人公章）</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E、用户数据全流程加密，安装专用加密软件环境，确保用户数据安全。</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F1A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1年</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213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rPr>
            </w:pPr>
          </w:p>
        </w:tc>
      </w:tr>
      <w:tr w14:paraId="3F1CE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A33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14B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国产化防火墙</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D17B">
            <w:pPr>
              <w:keepNext w:val="0"/>
              <w:keepLines w:val="0"/>
              <w:pageBreakBefore w:val="0"/>
              <w:widowControl/>
              <w:numPr>
                <w:ilvl w:val="0"/>
                <w:numId w:val="2"/>
              </w:numPr>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使用国产化硬件及自研软件系统；（需提供芯片厂商盖章的产品适配证明）</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硬件规格：1U，2个USB端口，1个Console端口。千兆电口≥10个，千兆光电复用接口≥4个，Bypass≥3组，内存≥4GB，提供额外可扩展插槽≥2个（最多支持不小于30个千兆电口，最多支持不小于12个千兆SFP光口，最多支持不小于4个万兆SFP+光口， 最多支持不小于3对Bypass端口），内置双交流电源，配置独立的日志存储盘≥1T SATA硬盘；</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3、性能规格：网络吞吐量不小于12G，并发连接数不小于400万，新建连接数不小于10万。</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4、NAT功能：支持IPv4/IPv6源NAT、目的NAT、静态NAT；</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支持跨协议NAT转换：NAT64、NAT46，具备IVI、嵌入地址、地址池三种转换形式；</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5、安全策略：支持基于IPv4/IPv6的一体化安全策略：在一条策略中可基于设备接口/安全域、源/目的IP地址、服务、应用、用户、时间等属性，配置工业防护、入侵防护、病毒防护、Web访问策略、应用控制等安全防护功能；支持IPv4/IPv6策略分析功能，支持检测出冗余策略、隐藏策略、冲突策略、可合并策略、空策略、过期策略，并提供优化建议及图形化分析统计。（必须提供产品截图）</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6、支持OPC_UA、OPC_DA、S7、S7 PLUS、MODBUS、IEC104、DNP3、ENIP_IO、ENIP_TCP、ENIP_UDP、MMS 等工控协议的读写控制。</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7、★防暴力破解：支持telnet、ftp、imap、pop3、smtp、rlogin、http、oracle、postgres、mysql等常见协议的防暴力破解功能，针对每种协议可自定义检测时长和阈值，并自动将攻击者加入黑名单。</w:t>
            </w:r>
          </w:p>
          <w:p w14:paraId="504E0154">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系统集成风险扫描功能：支持IPv4/6网络下telnet、ssh、ftp、imap、pop3、smtp、mysql、postgresql、mssql、rlogim、vnc等常见协议的弱密码检测功能，支持快速扫描、全面扫描、自定义扫描、空密码、用户名和密码相同等检测方式，弱口令字典可自定义设置。（必须提供产品截图）</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9、支持DoS/DDoS攻击防护、暴力破解防护等多种安全防护策略，支持工业协议深度防护功能，对工业协议定义白名单访问控制，对主流工业协议的功能码、线圈值、地址范围等进行深度检测实现过滤和防护；提供IPsec、SSL、GRE多种VPN Overlay，可支持HA、VRRP冗余组网，可开通支持扩展入侵检测防护功能，可针对目录遍历、蠕虫病毒、木马后门、跨站攻击、SQL注入、漏洞扫描等多种类型攻击行为进行检测防护；支持扩展病毒检测防护功能，针对主流网络协议、主流文件类型进行恶意代码检测防护；支持扩展七层应用识别和WEB站点分类识别，提供应用流量分析、网络访问审计、智能流量控制、网络行为管理等功能。</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10、含三年基础硬件保修系统软件维保服务，三年病毒、入侵防御、URL分类、应用特征库升级。</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E0A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5CE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rPr>
            </w:pPr>
          </w:p>
        </w:tc>
      </w:tr>
      <w:tr w14:paraId="54BF7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9"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104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13</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BC1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终端安全监管平台</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CE1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1.产品采用控制端+客户端架构，通过统一控制中心实现对各客户端统一策略下发、运行管理、全网健康状态监测、统一杀毒等、统一补丁功能；客户端授权数量：≥170个PC客户端授权（信创PC客户端）。</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2.支持信创/非信创环境客户端同一控制中心统一纳管及策略下发（含杀毒及其他终端安全管理能力）（提供功能截图）；</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3.支持对单个客户端进行维护，终端视角查看终端基本信息，包括计算机名、型号、IP、MAC地址、工作组、域信息、本次开机时间、上次关机时间、应用功能、在线状态、资产品牌、设备出厂日期；硬件信息展示，包括CPU、主板、内存、磁盘存储、显卡、显示器、声卡、网卡等信息；实时进程信息展示，包括进程名称、PID、进程用户名、命令行、占用内存、CPU占用、MD5等信息；网络信息展示，包括IP获取方式、IP地址、子网掩码、默认网关、DNS等信息；</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4.管理控制中心当登录账号输入密码错误次数超过锁定阈值后账号将被锁定，且可设置锁定时间，该时间内账号登录请求不被接受。同时应支持双因子认证登录方式，提高安全性；</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5.支持终端用户和管理员是一套账号管理系统，简化账号管理复杂度，一个账号解决所有身份认证，既可以用于终端登录，也可以用于管理中心；</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6.支持不少于两个杀毒引擎混合使用，提高病毒检出率；（提供功能截图）</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B90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512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rPr>
            </w:pPr>
          </w:p>
        </w:tc>
      </w:tr>
      <w:tr w14:paraId="1F203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46F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22A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内容及播控安全防护平台</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307B">
            <w:pPr>
              <w:numPr>
                <w:ilvl w:val="0"/>
                <w:numId w:val="3"/>
              </w:numPr>
              <w:spacing w:line="36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终端支持对接入的公共显示屏播放内容进行AI智能检测审核、事中控制，阻断不良信息播放，并将检测到的违规内容信息报送至平台。</w:t>
            </w:r>
          </w:p>
          <w:p w14:paraId="1234EF24">
            <w:pPr>
              <w:numPr>
                <w:ilvl w:val="0"/>
                <w:numId w:val="3"/>
              </w:numPr>
              <w:spacing w:line="36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AI智能检测审核：在视频、文字、图片等播放内容传输到公共显示屏前，先经过公共显示屏内容安全智能审核设备进行检测审核。</w:t>
            </w:r>
          </w:p>
          <w:p w14:paraId="386D9BDB">
            <w:pPr>
              <w:numPr>
                <w:ilvl w:val="0"/>
                <w:numId w:val="3"/>
              </w:numPr>
              <w:spacing w:line="360" w:lineRule="auto"/>
              <w:rPr>
                <w:rFonts w:hint="eastAsia" w:ascii="方正仿宋_GBK" w:hAnsi="方正仿宋_GBK" w:eastAsia="方正仿宋_GBK" w:cs="方正仿宋_GBK"/>
                <w:color w:val="auto"/>
                <w:sz w:val="24"/>
                <w:szCs w:val="24"/>
                <w:highlight w:val="none"/>
                <w:lang w:eastAsia="zh-Hans"/>
              </w:rPr>
            </w:pPr>
            <w:r>
              <w:rPr>
                <w:rFonts w:hint="eastAsia" w:ascii="方正仿宋_GBK" w:hAnsi="方正仿宋_GBK" w:eastAsia="方正仿宋_GBK" w:cs="方正仿宋_GBK"/>
                <w:color w:val="auto"/>
                <w:sz w:val="24"/>
                <w:szCs w:val="24"/>
                <w:highlight w:val="none"/>
              </w:rPr>
              <w:t>事中控制：终端支持24小时不间断检测</w:t>
            </w:r>
            <w:r>
              <w:rPr>
                <w:rFonts w:hint="eastAsia" w:ascii="方正仿宋_GBK" w:hAnsi="方正仿宋_GBK" w:eastAsia="方正仿宋_GBK" w:cs="方正仿宋_GBK"/>
                <w:color w:val="auto"/>
                <w:sz w:val="24"/>
                <w:szCs w:val="24"/>
                <w:highlight w:val="none"/>
                <w:lang w:val="en-US" w:eastAsia="zh-CN"/>
              </w:rPr>
              <w:t>显示内容</w:t>
            </w:r>
            <w:r>
              <w:rPr>
                <w:rFonts w:hint="eastAsia" w:ascii="方正仿宋_GBK" w:hAnsi="方正仿宋_GBK" w:eastAsia="方正仿宋_GBK" w:cs="方正仿宋_GBK"/>
                <w:color w:val="auto"/>
                <w:sz w:val="24"/>
                <w:szCs w:val="24"/>
                <w:highlight w:val="none"/>
              </w:rPr>
              <w:t>，当检测出播放内容中包含：涉黄、涉暴恐、涉政旗帜、敏感人脸、敏感词、</w:t>
            </w:r>
            <w:r>
              <w:rPr>
                <w:rFonts w:hint="eastAsia" w:ascii="方正仿宋_GBK" w:hAnsi="方正仿宋_GBK" w:eastAsia="方正仿宋_GBK" w:cs="方正仿宋_GBK"/>
                <w:color w:val="auto"/>
                <w:sz w:val="24"/>
                <w:szCs w:val="24"/>
                <w:highlight w:val="none"/>
                <w:lang w:eastAsia="zh-Hans"/>
              </w:rPr>
              <w:t>涉毒、涉赌</w:t>
            </w:r>
            <w:r>
              <w:rPr>
                <w:rFonts w:hint="eastAsia" w:ascii="方正仿宋_GBK" w:hAnsi="方正仿宋_GBK" w:eastAsia="方正仿宋_GBK" w:cs="方正仿宋_GBK"/>
                <w:color w:val="auto"/>
                <w:sz w:val="24"/>
                <w:szCs w:val="24"/>
                <w:highlight w:val="none"/>
              </w:rPr>
              <w:t>等视频或图像时，立即将播放内容替换为预设画面（即自定义安全图片）进行播放，阻断不良信息播放，待检测出播放内容合法合规时，可自动恢复内容输出，同时终端向平台提供违规事件统计、事件查询、事件详情等完善的审计溯源日志并可生成报表；</w:t>
            </w:r>
            <w:r>
              <w:rPr>
                <w:rFonts w:hint="eastAsia" w:ascii="方正仿宋_GBK" w:hAnsi="方正仿宋_GBK" w:eastAsia="方正仿宋_GBK" w:cs="方正仿宋_GBK"/>
                <w:color w:val="auto"/>
                <w:sz w:val="24"/>
                <w:szCs w:val="24"/>
                <w:highlight w:val="none"/>
                <w:lang w:eastAsia="zh-CN"/>
              </w:rPr>
              <w:t>（需提供具有CMA或ilAC-MRA或CNAS标识第三方权威检测机构出具的检测报告复印件，报告编号在检测机构官网可查询并提供截图和网站链接证明，报告首页带二维码以备现场查验）</w:t>
            </w:r>
          </w:p>
          <w:p w14:paraId="4336CE26">
            <w:pPr>
              <w:numPr>
                <w:ilvl w:val="0"/>
                <w:numId w:val="3"/>
              </w:numPr>
              <w:spacing w:line="360" w:lineRule="auto"/>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终端应具备防入侵、防篡改能力，确保终端系统不被篡改和破坏；</w:t>
            </w:r>
          </w:p>
          <w:p w14:paraId="0DC62B4B">
            <w:pPr>
              <w:widowControl/>
              <w:numPr>
                <w:ilvl w:val="0"/>
                <w:numId w:val="3"/>
              </w:numPr>
              <w:spacing w:line="360" w:lineRule="auto"/>
              <w:jc w:val="left"/>
              <w:rPr>
                <w:rFonts w:hint="eastAsia" w:ascii="方正仿宋_GBK" w:hAnsi="方正仿宋_GBK" w:eastAsia="方正仿宋_GBK" w:cs="方正仿宋_GBK"/>
                <w:color w:val="auto"/>
                <w:sz w:val="24"/>
                <w:szCs w:val="24"/>
                <w:highlight w:val="none"/>
                <w:lang w:eastAsia="zh-Hans"/>
              </w:rPr>
            </w:pPr>
            <w:r>
              <w:rPr>
                <w:rFonts w:hint="eastAsia" w:ascii="方正仿宋_GBK" w:hAnsi="方正仿宋_GBK" w:eastAsia="方正仿宋_GBK" w:cs="方正仿宋_GBK"/>
                <w:color w:val="auto"/>
                <w:sz w:val="24"/>
                <w:szCs w:val="24"/>
                <w:highlight w:val="none"/>
                <w:lang w:eastAsia="zh-Hans"/>
              </w:rPr>
              <w:t>为确保终端通信的可靠性、告警信息的精准性，终端支持与系统时间同步，时间同步精准至秒。（提供软件功能截图佐证）</w:t>
            </w:r>
          </w:p>
          <w:p w14:paraId="79E35ABA">
            <w:pPr>
              <w:widowControl/>
              <w:numPr>
                <w:ilvl w:val="0"/>
                <w:numId w:val="3"/>
              </w:numPr>
              <w:spacing w:line="360" w:lineRule="auto"/>
              <w:jc w:val="left"/>
              <w:rPr>
                <w:rFonts w:hint="eastAsia" w:ascii="方正仿宋_GBK" w:hAnsi="方正仿宋_GBK" w:eastAsia="方正仿宋_GBK" w:cs="方正仿宋_GBK"/>
                <w:color w:val="auto"/>
                <w:kern w:val="2"/>
                <w:sz w:val="24"/>
                <w:szCs w:val="24"/>
                <w:highlight w:val="none"/>
                <w:lang w:val="en-US" w:eastAsia="zh-Hans" w:bidi="ar-SA"/>
                <w14:ligatures w14:val="none"/>
              </w:rPr>
            </w:pPr>
            <w:r>
              <w:rPr>
                <w:rFonts w:hint="eastAsia" w:ascii="方正仿宋_GBK" w:hAnsi="方正仿宋_GBK" w:eastAsia="方正仿宋_GBK" w:cs="方正仿宋_GBK"/>
                <w:color w:val="auto"/>
                <w:sz w:val="24"/>
                <w:szCs w:val="24"/>
                <w:highlight w:val="none"/>
                <w:lang w:eastAsia="zh-Hans"/>
              </w:rPr>
              <w:t>支持配置屏蔽持续时间：系统可自定义出现告警时，屏蔽预置图的持续时间。配置时间范围：0.1秒到86400秒（24小时），屏蔽持续时间为0</w:t>
            </w:r>
            <w:r>
              <w:rPr>
                <w:rFonts w:hint="eastAsia" w:ascii="方正仿宋_GBK" w:hAnsi="方正仿宋_GBK" w:eastAsia="方正仿宋_GBK" w:cs="方正仿宋_GBK"/>
                <w:color w:val="auto"/>
                <w:sz w:val="24"/>
                <w:szCs w:val="24"/>
                <w:highlight w:val="none"/>
                <w:lang w:val="en-US" w:eastAsia="zh-CN"/>
              </w:rPr>
              <w:t>时</w:t>
            </w:r>
            <w:r>
              <w:rPr>
                <w:rFonts w:hint="eastAsia" w:ascii="方正仿宋_GBK" w:hAnsi="方正仿宋_GBK" w:eastAsia="方正仿宋_GBK" w:cs="方正仿宋_GBK"/>
                <w:color w:val="auto"/>
                <w:sz w:val="24"/>
                <w:szCs w:val="24"/>
                <w:highlight w:val="none"/>
                <w:lang w:eastAsia="zh-Hans"/>
              </w:rPr>
              <w:t>，则不会自动恢复，画面处于持续屏蔽状态。</w:t>
            </w:r>
          </w:p>
          <w:p w14:paraId="3EE5CE9A">
            <w:pPr>
              <w:numPr>
                <w:ilvl w:val="0"/>
                <w:numId w:val="3"/>
              </w:numPr>
              <w:spacing w:line="36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rPr>
              <w:t>接口配置：≥1*TYPE-C接口</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≥1*DP接口，≥1*USB3.0接口，≥2*USB2.0接口，≥2*HDMI接口，≥2*LAN口，≥2*Wifi天线；信号灯配置：≥1*WIFI信号灯，≥1*</w:t>
            </w:r>
            <w:r>
              <w:rPr>
                <w:rFonts w:hint="eastAsia" w:ascii="方正仿宋_GBK" w:hAnsi="方正仿宋_GBK" w:eastAsia="方正仿宋_GBK" w:cs="方正仿宋_GBK"/>
                <w:color w:val="auto"/>
                <w:sz w:val="24"/>
                <w:szCs w:val="24"/>
                <w:lang w:val="en-US" w:eastAsia="zh-CN"/>
              </w:rPr>
              <w:t>网络</w:t>
            </w:r>
            <w:r>
              <w:rPr>
                <w:rFonts w:hint="eastAsia" w:ascii="方正仿宋_GBK" w:hAnsi="方正仿宋_GBK" w:eastAsia="方正仿宋_GBK" w:cs="方正仿宋_GBK"/>
                <w:color w:val="auto"/>
                <w:sz w:val="24"/>
                <w:szCs w:val="24"/>
              </w:rPr>
              <w:t>信号灯，≥1*PWR信号灯；支持RS485及RS232；</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Hans"/>
              </w:rPr>
              <w:t>提供</w:t>
            </w:r>
            <w:r>
              <w:rPr>
                <w:rFonts w:hint="eastAsia" w:ascii="方正仿宋_GBK" w:hAnsi="方正仿宋_GBK" w:eastAsia="方正仿宋_GBK" w:cs="方正仿宋_GBK"/>
                <w:color w:val="auto"/>
                <w:sz w:val="24"/>
                <w:szCs w:val="24"/>
                <w:highlight w:val="none"/>
              </w:rPr>
              <w:t>实物照片</w:t>
            </w:r>
            <w:r>
              <w:rPr>
                <w:rFonts w:hint="eastAsia" w:ascii="方正仿宋_GBK" w:hAnsi="方正仿宋_GBK" w:eastAsia="方正仿宋_GBK" w:cs="方正仿宋_GBK"/>
                <w:color w:val="auto"/>
                <w:sz w:val="24"/>
                <w:szCs w:val="24"/>
                <w:highlight w:val="none"/>
                <w:lang w:eastAsia="zh-Hans"/>
              </w:rPr>
              <w:t>佐证</w:t>
            </w:r>
            <w:r>
              <w:rPr>
                <w:rFonts w:hint="eastAsia" w:ascii="方正仿宋_GBK" w:hAnsi="方正仿宋_GBK" w:eastAsia="方正仿宋_GBK" w:cs="方正仿宋_GBK"/>
                <w:color w:val="auto"/>
                <w:sz w:val="24"/>
                <w:szCs w:val="24"/>
                <w:highlight w:val="none"/>
                <w:lang w:eastAsia="zh-CN"/>
              </w:rPr>
              <w:t>）</w:t>
            </w:r>
          </w:p>
          <w:p w14:paraId="55E9A2FC">
            <w:pPr>
              <w:numPr>
                <w:ilvl w:val="0"/>
                <w:numId w:val="3"/>
              </w:numPr>
              <w:spacing w:line="36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终端应能满足在不低于50000次识别敏感人脸视频或图像测试中，识别准确率≥99.99%；</w:t>
            </w:r>
            <w:r>
              <w:rPr>
                <w:rFonts w:hint="eastAsia" w:ascii="方正仿宋_GBK" w:hAnsi="方正仿宋_GBK" w:eastAsia="方正仿宋_GBK" w:cs="方正仿宋_GBK"/>
                <w:color w:val="auto"/>
                <w:kern w:val="2"/>
                <w:sz w:val="24"/>
                <w:szCs w:val="24"/>
                <w:highlight w:val="none"/>
                <w:lang w:val="en-US" w:eastAsia="zh-CN" w:bidi="ar-SA"/>
                <w14:ligatures w14:val="none"/>
              </w:rPr>
              <w:t>（需提供具有CMA或ilAC-MRA或CNAS标识第三方权威检测机构出具的检测报告复印件）</w:t>
            </w:r>
          </w:p>
          <w:p w14:paraId="063EEBD8">
            <w:pPr>
              <w:numPr>
                <w:ilvl w:val="0"/>
                <w:numId w:val="3"/>
              </w:numPr>
              <w:spacing w:line="36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终端应能满足在不低于50000次正常图像测试中，</w:t>
            </w:r>
            <w:r>
              <w:rPr>
                <w:rFonts w:hint="eastAsia" w:ascii="方正仿宋_GBK" w:hAnsi="方正仿宋_GBK" w:eastAsia="方正仿宋_GBK" w:cs="方正仿宋_GBK"/>
                <w:color w:val="auto"/>
                <w:sz w:val="24"/>
                <w:szCs w:val="24"/>
                <w:highlight w:val="none"/>
                <w:lang w:eastAsia="zh-Hans"/>
              </w:rPr>
              <w:t>图像中均无</w:t>
            </w:r>
            <w:r>
              <w:rPr>
                <w:rFonts w:hint="eastAsia" w:ascii="方正仿宋_GBK" w:hAnsi="方正仿宋_GBK" w:eastAsia="方正仿宋_GBK" w:cs="方正仿宋_GBK"/>
                <w:color w:val="auto"/>
                <w:sz w:val="24"/>
                <w:szCs w:val="24"/>
                <w:highlight w:val="none"/>
              </w:rPr>
              <w:t>敏感人脸视频或图像信息，误识别率≤0.01%；</w:t>
            </w:r>
          </w:p>
          <w:p w14:paraId="08C7896F">
            <w:pPr>
              <w:numPr>
                <w:ilvl w:val="0"/>
                <w:numId w:val="3"/>
              </w:numPr>
              <w:spacing w:line="360" w:lineRule="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Hans"/>
              </w:rPr>
              <w:t>终端主机安全测试中，产品不应存在已知高、中风险等级的终端主机安全脆弱性问题。</w:t>
            </w:r>
          </w:p>
          <w:p w14:paraId="40083A9E">
            <w:pPr>
              <w:numPr>
                <w:ilvl w:val="0"/>
                <w:numId w:val="3"/>
              </w:numPr>
              <w:spacing w:line="360" w:lineRule="auto"/>
              <w:rPr>
                <w:rFonts w:hint="eastAsia" w:ascii="方正仿宋_GBK" w:hAnsi="方正仿宋_GBK" w:eastAsia="方正仿宋_GBK" w:cs="方正仿宋_GBK"/>
                <w:color w:val="auto"/>
                <w:sz w:val="24"/>
                <w:szCs w:val="24"/>
                <w:highlight w:val="none"/>
                <w:lang w:eastAsia="zh-Hans"/>
              </w:rPr>
            </w:pPr>
            <w:r>
              <w:rPr>
                <w:rFonts w:hint="eastAsia" w:ascii="方正仿宋_GBK" w:hAnsi="方正仿宋_GBK" w:eastAsia="方正仿宋_GBK" w:cs="方正仿宋_GBK"/>
                <w:color w:val="auto"/>
                <w:sz w:val="24"/>
                <w:szCs w:val="24"/>
                <w:highlight w:val="none"/>
                <w:lang w:eastAsia="zh-Hans"/>
              </w:rPr>
              <w:t>终端主机支持信息系统安全审计产品应将审计记录和自身审计日志存储于掉电非易失性存储介质中。</w:t>
            </w:r>
          </w:p>
          <w:p w14:paraId="1321294E">
            <w:pPr>
              <w:numPr>
                <w:ilvl w:val="0"/>
                <w:numId w:val="3"/>
              </w:numPr>
              <w:spacing w:line="360" w:lineRule="auto"/>
              <w:rPr>
                <w:rFonts w:hint="eastAsia" w:ascii="方正仿宋_GBK" w:hAnsi="方正仿宋_GBK" w:eastAsia="方正仿宋_GBK" w:cs="方正仿宋_GBK"/>
                <w:color w:val="auto"/>
                <w:sz w:val="24"/>
                <w:szCs w:val="24"/>
                <w:highlight w:val="none"/>
                <w:lang w:eastAsia="zh-Hans"/>
              </w:rPr>
            </w:pPr>
            <w:r>
              <w:rPr>
                <w:rFonts w:hint="eastAsia" w:ascii="方正仿宋_GBK" w:hAnsi="方正仿宋_GBK" w:eastAsia="方正仿宋_GBK" w:cs="方正仿宋_GBK"/>
                <w:color w:val="auto"/>
                <w:sz w:val="24"/>
                <w:szCs w:val="24"/>
                <w:highlight w:val="none"/>
                <w:lang w:eastAsia="zh-Hans"/>
              </w:rPr>
              <w:t>信息系统安全审计产品不应提供对数据进行添加、修改、删除的功能或接口，防止审计记录和自身审计日志被篡改；</w:t>
            </w:r>
          </w:p>
          <w:p w14:paraId="55D5BC6A">
            <w:pPr>
              <w:numPr>
                <w:ilvl w:val="0"/>
                <w:numId w:val="3"/>
              </w:numPr>
              <w:spacing w:line="360" w:lineRule="auto"/>
              <w:rPr>
                <w:rFonts w:hint="eastAsia" w:ascii="方正仿宋_GBK" w:hAnsi="方正仿宋_GBK" w:eastAsia="方正仿宋_GBK" w:cs="方正仿宋_GBK"/>
                <w:color w:val="auto"/>
                <w:sz w:val="24"/>
                <w:szCs w:val="24"/>
                <w:highlight w:val="none"/>
                <w:lang w:eastAsia="zh-Hans"/>
              </w:rPr>
            </w:pPr>
            <w:r>
              <w:rPr>
                <w:rFonts w:hint="eastAsia" w:ascii="方正仿宋_GBK" w:hAnsi="方正仿宋_GBK" w:eastAsia="方正仿宋_GBK" w:cs="方正仿宋_GBK"/>
                <w:color w:val="auto"/>
                <w:sz w:val="24"/>
                <w:szCs w:val="24"/>
                <w:highlight w:val="none"/>
                <w:lang w:eastAsia="zh-Hans"/>
              </w:rPr>
              <w:t>管理平台集合了各类告警数据、违规视频预览、设备状态管理等多项关键数据和分析报告，并通过图表、仪表盘等各种视觉化工具，帮助用户快速监控业务变化并作出相应决策。</w:t>
            </w:r>
          </w:p>
          <w:p w14:paraId="7C873C30">
            <w:pPr>
              <w:numPr>
                <w:ilvl w:val="0"/>
                <w:numId w:val="3"/>
              </w:numPr>
              <w:spacing w:line="360" w:lineRule="auto"/>
              <w:rPr>
                <w:rFonts w:hint="eastAsia" w:ascii="方正仿宋_GBK" w:hAnsi="方正仿宋_GBK" w:eastAsia="方正仿宋_GBK" w:cs="方正仿宋_GBK"/>
                <w:color w:val="auto"/>
                <w:sz w:val="24"/>
                <w:szCs w:val="24"/>
                <w:highlight w:val="none"/>
                <w:lang w:eastAsia="zh-Hans"/>
              </w:rPr>
            </w:pPr>
            <w:r>
              <w:rPr>
                <w:rFonts w:hint="eastAsia" w:ascii="方正仿宋_GBK" w:hAnsi="方正仿宋_GBK" w:eastAsia="方正仿宋_GBK" w:cs="方正仿宋_GBK"/>
                <w:color w:val="auto"/>
                <w:sz w:val="24"/>
                <w:szCs w:val="24"/>
                <w:highlight w:val="none"/>
                <w:lang w:eastAsia="zh-Hans"/>
              </w:rPr>
              <w:t>管理平台支持多节点终端接入，对接入的终端所检测到的不良内容信息集中汇总管理与处置。</w:t>
            </w:r>
          </w:p>
          <w:p w14:paraId="233EE3BE">
            <w:pPr>
              <w:numPr>
                <w:ilvl w:val="0"/>
                <w:numId w:val="3"/>
              </w:numPr>
              <w:spacing w:line="360" w:lineRule="auto"/>
              <w:rPr>
                <w:rFonts w:hint="eastAsia" w:ascii="方正仿宋_GBK" w:hAnsi="方正仿宋_GBK" w:eastAsia="方正仿宋_GBK" w:cs="方正仿宋_GBK"/>
                <w:color w:val="auto"/>
                <w:sz w:val="24"/>
                <w:szCs w:val="24"/>
                <w:highlight w:val="none"/>
                <w:lang w:eastAsia="zh-Hans"/>
              </w:rPr>
            </w:pPr>
            <w:r>
              <w:rPr>
                <w:rFonts w:hint="eastAsia" w:ascii="方正仿宋_GBK" w:hAnsi="方正仿宋_GBK" w:eastAsia="方正仿宋_GBK" w:cs="方正仿宋_GBK"/>
                <w:color w:val="auto"/>
                <w:sz w:val="24"/>
                <w:szCs w:val="24"/>
                <w:highlight w:val="none"/>
                <w:lang w:eastAsia="zh-Hans"/>
              </w:rPr>
              <w:t>支持多台设备接入云平台批量管理，平台首页支持查看接入设备总数、在线/离线设备数、告警信息、告警统计、告警类型、趋势统计；</w:t>
            </w:r>
          </w:p>
          <w:p w14:paraId="13996BDC">
            <w:pPr>
              <w:numPr>
                <w:ilvl w:val="0"/>
                <w:numId w:val="3"/>
              </w:numPr>
              <w:spacing w:line="360" w:lineRule="auto"/>
              <w:rPr>
                <w:rFonts w:hint="eastAsia" w:ascii="方正仿宋_GBK" w:hAnsi="方正仿宋_GBK" w:eastAsia="方正仿宋_GBK" w:cs="方正仿宋_GBK"/>
                <w:color w:val="auto"/>
                <w:sz w:val="24"/>
                <w:szCs w:val="24"/>
                <w:highlight w:val="none"/>
                <w:lang w:eastAsia="zh-Hans"/>
              </w:rPr>
            </w:pPr>
            <w:r>
              <w:rPr>
                <w:rFonts w:hint="eastAsia" w:ascii="方正仿宋_GBK" w:hAnsi="方正仿宋_GBK" w:eastAsia="方正仿宋_GBK" w:cs="方正仿宋_GBK"/>
                <w:color w:val="auto"/>
                <w:sz w:val="24"/>
                <w:szCs w:val="24"/>
                <w:highlight w:val="none"/>
                <w:lang w:eastAsia="zh-Hans"/>
              </w:rPr>
              <w:t>支持模型升级管理，模型升级管理需包含模型列表和版本列表两个部分。模型列表支持包括：涉黄识别、暴恐识别、特殊旗帜识别、人物库识别及敏感词识别；版本列表支持新增、编辑、删除以及启用/禁用的操作，版本列表支持显示版本名称、当前版本号及上一个版本。可通过搜索版本名称，搜索出相应的模型版本。（需提供软件截图证明）</w:t>
            </w:r>
          </w:p>
          <w:p w14:paraId="16077FC9">
            <w:pPr>
              <w:numPr>
                <w:ilvl w:val="0"/>
                <w:numId w:val="3"/>
              </w:numPr>
              <w:spacing w:line="360" w:lineRule="auto"/>
              <w:rPr>
                <w:rFonts w:hint="eastAsia" w:ascii="方正仿宋_GBK" w:hAnsi="方正仿宋_GBK" w:eastAsia="方正仿宋_GBK" w:cs="方正仿宋_GBK"/>
                <w:color w:val="auto"/>
                <w:sz w:val="24"/>
                <w:szCs w:val="24"/>
                <w:highlight w:val="none"/>
                <w:lang w:eastAsia="zh-Hans"/>
              </w:rPr>
            </w:pPr>
            <w:r>
              <w:rPr>
                <w:rFonts w:hint="eastAsia" w:ascii="方正仿宋_GBK" w:hAnsi="方正仿宋_GBK" w:eastAsia="方正仿宋_GBK" w:cs="方正仿宋_GBK"/>
                <w:color w:val="auto"/>
                <w:sz w:val="24"/>
                <w:szCs w:val="24"/>
                <w:highlight w:val="none"/>
                <w:lang w:eastAsia="zh-Hans"/>
              </w:rPr>
              <w:t>支持对设备远程下发操作，包括关屏、复位、重启设备、关闭检测功能；（需提供软件截图证明）</w:t>
            </w:r>
          </w:p>
          <w:p w14:paraId="4B5EF2F3">
            <w:pPr>
              <w:numPr>
                <w:ilvl w:val="0"/>
                <w:numId w:val="3"/>
              </w:numPr>
              <w:spacing w:line="360" w:lineRule="auto"/>
              <w:rPr>
                <w:rFonts w:hint="eastAsia" w:ascii="方正仿宋_GBK" w:hAnsi="方正仿宋_GBK" w:eastAsia="方正仿宋_GBK" w:cs="方正仿宋_GBK"/>
                <w:color w:val="auto"/>
                <w:sz w:val="24"/>
                <w:szCs w:val="24"/>
                <w:highlight w:val="none"/>
                <w:lang w:val="en-US" w:eastAsia="zh-Hans"/>
              </w:rPr>
            </w:pPr>
            <w:r>
              <w:rPr>
                <w:rFonts w:hint="eastAsia" w:ascii="方正仿宋_GBK" w:hAnsi="方正仿宋_GBK" w:eastAsia="方正仿宋_GBK" w:cs="方正仿宋_GBK"/>
                <w:color w:val="auto"/>
                <w:sz w:val="24"/>
                <w:szCs w:val="24"/>
                <w:highlight w:val="none"/>
                <w:lang w:eastAsia="zh-Hans"/>
              </w:rPr>
              <w:t>支持对当前处于画面屏蔽状态的大屏进行画面复位操作，点击复位按钮，大屏画面从阻断状态恢复为可正常播放状态。</w:t>
            </w:r>
          </w:p>
          <w:p w14:paraId="5E9DC412">
            <w:pPr>
              <w:numPr>
                <w:ilvl w:val="0"/>
                <w:numId w:val="3"/>
              </w:numPr>
              <w:spacing w:line="360" w:lineRule="auto"/>
              <w:rPr>
                <w:rFonts w:hint="eastAsia" w:ascii="方正仿宋_GBK" w:hAnsi="方正仿宋_GBK" w:eastAsia="方正仿宋_GBK" w:cs="方正仿宋_GBK"/>
                <w:color w:val="auto"/>
                <w:sz w:val="24"/>
                <w:szCs w:val="24"/>
                <w:highlight w:val="none"/>
                <w:lang w:val="en-US" w:eastAsia="zh-Hans"/>
              </w:rPr>
            </w:pPr>
            <w:r>
              <w:rPr>
                <w:rFonts w:hint="eastAsia" w:ascii="方正仿宋_GBK" w:hAnsi="方正仿宋_GBK" w:eastAsia="方正仿宋_GBK" w:cs="方正仿宋_GBK"/>
                <w:color w:val="auto"/>
                <w:sz w:val="24"/>
                <w:szCs w:val="24"/>
                <w:highlight w:val="none"/>
                <w:lang w:eastAsia="zh-Hans"/>
              </w:rPr>
              <w:t>终端支持执行关闭检测功能，特殊场景需求时，支持将终端检测功能暂时关闭，此时将不会对播放内容进行检测与屏蔽；</w:t>
            </w:r>
          </w:p>
          <w:p w14:paraId="55CEEB82">
            <w:pPr>
              <w:numPr>
                <w:ilvl w:val="0"/>
                <w:numId w:val="3"/>
              </w:numPr>
              <w:spacing w:line="360" w:lineRule="auto"/>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color w:val="auto"/>
                <w:sz w:val="24"/>
                <w:szCs w:val="24"/>
                <w:highlight w:val="none"/>
                <w:lang w:eastAsia="zh-Hans"/>
              </w:rPr>
              <w:t>支持应急联系人管理功能，支持管理各设备分组的应急联系人；（需提供软件截图证明）</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431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82D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lang w:val="en-US"/>
              </w:rPr>
            </w:pPr>
          </w:p>
        </w:tc>
      </w:tr>
      <w:tr w14:paraId="29986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2"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DC3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EFD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合计</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3060">
            <w:pPr>
              <w:numPr>
                <w:ilvl w:val="0"/>
                <w:numId w:val="0"/>
              </w:numPr>
              <w:spacing w:line="360" w:lineRule="auto"/>
              <w:ind w:leftChars="0"/>
              <w:rPr>
                <w:rFonts w:hint="eastAsia" w:ascii="方正仿宋_GBK" w:hAnsi="方正仿宋_GBK" w:eastAsia="方正仿宋_GBK" w:cs="方正仿宋_GBK"/>
                <w:color w:val="auto"/>
                <w:sz w:val="24"/>
                <w:szCs w:val="24"/>
                <w:highlight w:val="none"/>
                <w:lang w:eastAsia="zh-Hans"/>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5A5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4ED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iCs w:val="0"/>
                <w:color w:val="000000"/>
                <w:sz w:val="24"/>
                <w:szCs w:val="24"/>
                <w:u w:val="none"/>
                <w:lang w:val="en-US"/>
              </w:rPr>
            </w:pPr>
          </w:p>
        </w:tc>
      </w:tr>
    </w:tbl>
    <w:p w14:paraId="42DBC6B5">
      <w:pPr>
        <w:spacing w:line="600" w:lineRule="exact"/>
        <w:jc w:val="both"/>
        <w:rPr>
          <w:rFonts w:ascii="方正小标宋_GBK" w:eastAsia="方正小标宋_GBK"/>
          <w:snapToGrid w:val="0"/>
          <w:color w:val="auto"/>
          <w:w w:val="99"/>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2317D58C-DAAC-448C-B641-A13B62E92453}"/>
  </w:font>
  <w:font w:name="方正仿宋_GB18030">
    <w:altName w:val="仿宋"/>
    <w:panose1 w:val="02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2" w:fontKey="{4262E6CA-4868-4AFE-A5EA-3421DD8EB273}"/>
  </w:font>
  <w:font w:name="方正黑体_GBK">
    <w:panose1 w:val="03000509000000000000"/>
    <w:charset w:val="86"/>
    <w:family w:val="script"/>
    <w:pitch w:val="default"/>
    <w:sig w:usb0="00000001" w:usb1="080E0000" w:usb2="00000000" w:usb3="00000000" w:csb0="00040000" w:csb1="00000000"/>
    <w:embedRegular r:id="rId3" w:fontKey="{6A3204AF-9BEA-4137-9E6D-56D6DA2CE05E}"/>
  </w:font>
  <w:font w:name="MingLiU">
    <w:altName w:val="PMingLiU-ExtB"/>
    <w:panose1 w:val="02020509000000000000"/>
    <w:charset w:val="88"/>
    <w:family w:val="modern"/>
    <w:pitch w:val="default"/>
    <w:sig w:usb0="00000000" w:usb1="00000000" w:usb2="00000016" w:usb3="00000000" w:csb0="00100001" w:csb1="00000000"/>
    <w:embedRegular r:id="rId4" w:fontKey="{460D87C2-15BE-4E7F-BE21-A814D454D42C}"/>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A9EA9"/>
    <w:multiLevelType w:val="singleLevel"/>
    <w:tmpl w:val="80FA9EA9"/>
    <w:lvl w:ilvl="0" w:tentative="0">
      <w:start w:val="1"/>
      <w:numFmt w:val="decimal"/>
      <w:suff w:val="nothing"/>
      <w:lvlText w:val="%1、"/>
      <w:lvlJc w:val="left"/>
    </w:lvl>
  </w:abstractNum>
  <w:abstractNum w:abstractNumId="1">
    <w:nsid w:val="44604A07"/>
    <w:multiLevelType w:val="multilevel"/>
    <w:tmpl w:val="44604A07"/>
    <w:lvl w:ilvl="0" w:tentative="0">
      <w:start w:val="1"/>
      <w:numFmt w:val="japaneseCounting"/>
      <w:lvlText w:val="（%1）"/>
      <w:lvlJc w:val="left"/>
      <w:pPr>
        <w:ind w:left="1585" w:hanging="945"/>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6FDFE840"/>
    <w:multiLevelType w:val="singleLevel"/>
    <w:tmpl w:val="6FDFE840"/>
    <w:lvl w:ilvl="0" w:tentative="0">
      <w:start w:val="1"/>
      <w:numFmt w:val="decimal"/>
      <w:lvlText w:val="%1."/>
      <w:lvlJc w:val="left"/>
      <w:pPr>
        <w:ind w:left="425" w:hanging="425"/>
      </w:pPr>
      <w:rPr>
        <w:rFonts w:hint="default"/>
        <w:color w:val="000000" w:themeColor="text1"/>
        <w14:textFill>
          <w14:solidFill>
            <w14:schemeClr w14:val="tx1"/>
          </w14:solidFill>
        </w14:textFill>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5MTI2MWZiOTJjNjA1NGE5MzI0OTdlZDAwY2RmM2YifQ=="/>
    <w:docVar w:name="KSO_WPS_MARK_KEY" w:val="25e30516-0113-45d2-8cb9-35bed4041f3c"/>
  </w:docVars>
  <w:rsids>
    <w:rsidRoot w:val="00FC3AE0"/>
    <w:rsid w:val="00004370"/>
    <w:rsid w:val="00020174"/>
    <w:rsid w:val="00032C6B"/>
    <w:rsid w:val="000406E1"/>
    <w:rsid w:val="000421A4"/>
    <w:rsid w:val="000518F8"/>
    <w:rsid w:val="00061C4E"/>
    <w:rsid w:val="00081468"/>
    <w:rsid w:val="00081658"/>
    <w:rsid w:val="00081E6C"/>
    <w:rsid w:val="000938C1"/>
    <w:rsid w:val="00096276"/>
    <w:rsid w:val="000A0CC0"/>
    <w:rsid w:val="000B0830"/>
    <w:rsid w:val="000C0BE4"/>
    <w:rsid w:val="000C68C7"/>
    <w:rsid w:val="000E114A"/>
    <w:rsid w:val="000F5A15"/>
    <w:rsid w:val="00104C63"/>
    <w:rsid w:val="00120F8B"/>
    <w:rsid w:val="0012341C"/>
    <w:rsid w:val="00147AFE"/>
    <w:rsid w:val="00191AC8"/>
    <w:rsid w:val="001B4796"/>
    <w:rsid w:val="001E023E"/>
    <w:rsid w:val="001E7F2A"/>
    <w:rsid w:val="00230217"/>
    <w:rsid w:val="00231979"/>
    <w:rsid w:val="00242ED3"/>
    <w:rsid w:val="00247D3C"/>
    <w:rsid w:val="0025158B"/>
    <w:rsid w:val="0025775D"/>
    <w:rsid w:val="00260026"/>
    <w:rsid w:val="00272B68"/>
    <w:rsid w:val="00274D31"/>
    <w:rsid w:val="00276D14"/>
    <w:rsid w:val="00282F52"/>
    <w:rsid w:val="00293F6A"/>
    <w:rsid w:val="00297E9F"/>
    <w:rsid w:val="00302274"/>
    <w:rsid w:val="00311B2F"/>
    <w:rsid w:val="00321397"/>
    <w:rsid w:val="003271D7"/>
    <w:rsid w:val="0035050A"/>
    <w:rsid w:val="003533E8"/>
    <w:rsid w:val="00361E33"/>
    <w:rsid w:val="00393544"/>
    <w:rsid w:val="003D164C"/>
    <w:rsid w:val="003E3F54"/>
    <w:rsid w:val="003F4E89"/>
    <w:rsid w:val="004142D8"/>
    <w:rsid w:val="00414E5F"/>
    <w:rsid w:val="00416CBB"/>
    <w:rsid w:val="004213B2"/>
    <w:rsid w:val="004235AC"/>
    <w:rsid w:val="00430373"/>
    <w:rsid w:val="004329F5"/>
    <w:rsid w:val="00446286"/>
    <w:rsid w:val="0046101D"/>
    <w:rsid w:val="00461F62"/>
    <w:rsid w:val="00475060"/>
    <w:rsid w:val="00477F54"/>
    <w:rsid w:val="00492DCB"/>
    <w:rsid w:val="00493360"/>
    <w:rsid w:val="0049614D"/>
    <w:rsid w:val="00496AC9"/>
    <w:rsid w:val="004A126B"/>
    <w:rsid w:val="004D1C32"/>
    <w:rsid w:val="004D7929"/>
    <w:rsid w:val="004E0767"/>
    <w:rsid w:val="004E429C"/>
    <w:rsid w:val="004F49CF"/>
    <w:rsid w:val="0050452A"/>
    <w:rsid w:val="00517332"/>
    <w:rsid w:val="00530F6D"/>
    <w:rsid w:val="00542122"/>
    <w:rsid w:val="0054422C"/>
    <w:rsid w:val="00545C61"/>
    <w:rsid w:val="005526AC"/>
    <w:rsid w:val="00557381"/>
    <w:rsid w:val="00577DEB"/>
    <w:rsid w:val="005804AA"/>
    <w:rsid w:val="005910B0"/>
    <w:rsid w:val="005B7960"/>
    <w:rsid w:val="005C1C6E"/>
    <w:rsid w:val="005C4296"/>
    <w:rsid w:val="005D3651"/>
    <w:rsid w:val="005F5E61"/>
    <w:rsid w:val="00613888"/>
    <w:rsid w:val="006239C0"/>
    <w:rsid w:val="006267B8"/>
    <w:rsid w:val="00630E31"/>
    <w:rsid w:val="0063523C"/>
    <w:rsid w:val="006710C8"/>
    <w:rsid w:val="00681238"/>
    <w:rsid w:val="006822AB"/>
    <w:rsid w:val="00684F55"/>
    <w:rsid w:val="006A3F79"/>
    <w:rsid w:val="006B2A18"/>
    <w:rsid w:val="006D1EEE"/>
    <w:rsid w:val="006D7FE4"/>
    <w:rsid w:val="006E0941"/>
    <w:rsid w:val="006E1933"/>
    <w:rsid w:val="0070239D"/>
    <w:rsid w:val="00725200"/>
    <w:rsid w:val="00757609"/>
    <w:rsid w:val="00764AF5"/>
    <w:rsid w:val="007832B0"/>
    <w:rsid w:val="0078634D"/>
    <w:rsid w:val="00794419"/>
    <w:rsid w:val="00796635"/>
    <w:rsid w:val="007B0882"/>
    <w:rsid w:val="007B755E"/>
    <w:rsid w:val="007C056A"/>
    <w:rsid w:val="007C2C01"/>
    <w:rsid w:val="007C2E24"/>
    <w:rsid w:val="007D0C87"/>
    <w:rsid w:val="007D7CA6"/>
    <w:rsid w:val="007E2403"/>
    <w:rsid w:val="007F249B"/>
    <w:rsid w:val="007F2C94"/>
    <w:rsid w:val="00803786"/>
    <w:rsid w:val="00804834"/>
    <w:rsid w:val="008123D2"/>
    <w:rsid w:val="00816891"/>
    <w:rsid w:val="00823D9A"/>
    <w:rsid w:val="00833FB7"/>
    <w:rsid w:val="00836640"/>
    <w:rsid w:val="00857F88"/>
    <w:rsid w:val="0086770F"/>
    <w:rsid w:val="008705C5"/>
    <w:rsid w:val="0087267F"/>
    <w:rsid w:val="00872FAD"/>
    <w:rsid w:val="008879F8"/>
    <w:rsid w:val="008B64F1"/>
    <w:rsid w:val="008D2267"/>
    <w:rsid w:val="008E2555"/>
    <w:rsid w:val="008E6BAA"/>
    <w:rsid w:val="008F5AFB"/>
    <w:rsid w:val="00910886"/>
    <w:rsid w:val="00927B06"/>
    <w:rsid w:val="00942BB2"/>
    <w:rsid w:val="00953804"/>
    <w:rsid w:val="00955A92"/>
    <w:rsid w:val="009963D0"/>
    <w:rsid w:val="009A03ED"/>
    <w:rsid w:val="009A4A9F"/>
    <w:rsid w:val="009B5560"/>
    <w:rsid w:val="009B6B14"/>
    <w:rsid w:val="009D126A"/>
    <w:rsid w:val="009D1CD3"/>
    <w:rsid w:val="009D3D31"/>
    <w:rsid w:val="009F294B"/>
    <w:rsid w:val="00A030DD"/>
    <w:rsid w:val="00A03A6A"/>
    <w:rsid w:val="00A2396C"/>
    <w:rsid w:val="00A23D00"/>
    <w:rsid w:val="00A37C4E"/>
    <w:rsid w:val="00A6029B"/>
    <w:rsid w:val="00A733AC"/>
    <w:rsid w:val="00A90061"/>
    <w:rsid w:val="00A913CD"/>
    <w:rsid w:val="00A939BC"/>
    <w:rsid w:val="00A93DDB"/>
    <w:rsid w:val="00A95D8C"/>
    <w:rsid w:val="00AC49E9"/>
    <w:rsid w:val="00AC77F1"/>
    <w:rsid w:val="00AD06CE"/>
    <w:rsid w:val="00AE17AF"/>
    <w:rsid w:val="00AE2C4A"/>
    <w:rsid w:val="00AE624D"/>
    <w:rsid w:val="00AF07F9"/>
    <w:rsid w:val="00AF4012"/>
    <w:rsid w:val="00AF4EDA"/>
    <w:rsid w:val="00AF5AEE"/>
    <w:rsid w:val="00B03B4F"/>
    <w:rsid w:val="00B12F34"/>
    <w:rsid w:val="00B22B9B"/>
    <w:rsid w:val="00B2451E"/>
    <w:rsid w:val="00B368EB"/>
    <w:rsid w:val="00B5282D"/>
    <w:rsid w:val="00B721EC"/>
    <w:rsid w:val="00B74938"/>
    <w:rsid w:val="00B85554"/>
    <w:rsid w:val="00B959E0"/>
    <w:rsid w:val="00BC4EDA"/>
    <w:rsid w:val="00BC7D74"/>
    <w:rsid w:val="00BD110B"/>
    <w:rsid w:val="00BE3B30"/>
    <w:rsid w:val="00C13A0E"/>
    <w:rsid w:val="00C27088"/>
    <w:rsid w:val="00C3165E"/>
    <w:rsid w:val="00C413E5"/>
    <w:rsid w:val="00C4280A"/>
    <w:rsid w:val="00C454B2"/>
    <w:rsid w:val="00C54980"/>
    <w:rsid w:val="00C741B7"/>
    <w:rsid w:val="00C9271B"/>
    <w:rsid w:val="00C95FB7"/>
    <w:rsid w:val="00CA0591"/>
    <w:rsid w:val="00CA40F6"/>
    <w:rsid w:val="00CA47E9"/>
    <w:rsid w:val="00CB468A"/>
    <w:rsid w:val="00CE34BA"/>
    <w:rsid w:val="00CF0CB7"/>
    <w:rsid w:val="00CF0DFB"/>
    <w:rsid w:val="00D00031"/>
    <w:rsid w:val="00D030AD"/>
    <w:rsid w:val="00D054E4"/>
    <w:rsid w:val="00D15CCB"/>
    <w:rsid w:val="00D16D55"/>
    <w:rsid w:val="00D23F2D"/>
    <w:rsid w:val="00D24A69"/>
    <w:rsid w:val="00D258D9"/>
    <w:rsid w:val="00DB2A7C"/>
    <w:rsid w:val="00DB6E44"/>
    <w:rsid w:val="00DC3002"/>
    <w:rsid w:val="00E000BE"/>
    <w:rsid w:val="00E11025"/>
    <w:rsid w:val="00E12848"/>
    <w:rsid w:val="00E22F92"/>
    <w:rsid w:val="00E265E5"/>
    <w:rsid w:val="00E41CFE"/>
    <w:rsid w:val="00E54E74"/>
    <w:rsid w:val="00E572F3"/>
    <w:rsid w:val="00E57C82"/>
    <w:rsid w:val="00E6289B"/>
    <w:rsid w:val="00E8684A"/>
    <w:rsid w:val="00EB06CD"/>
    <w:rsid w:val="00ED1F8B"/>
    <w:rsid w:val="00ED47B4"/>
    <w:rsid w:val="00EE3D24"/>
    <w:rsid w:val="00EE578E"/>
    <w:rsid w:val="00EE6A4B"/>
    <w:rsid w:val="00EF28A4"/>
    <w:rsid w:val="00EF59DE"/>
    <w:rsid w:val="00EF5D99"/>
    <w:rsid w:val="00F16565"/>
    <w:rsid w:val="00F247AF"/>
    <w:rsid w:val="00F320B5"/>
    <w:rsid w:val="00F33C36"/>
    <w:rsid w:val="00F37BF8"/>
    <w:rsid w:val="00F46ADC"/>
    <w:rsid w:val="00F546C1"/>
    <w:rsid w:val="00F55C2D"/>
    <w:rsid w:val="00F77C9F"/>
    <w:rsid w:val="00F90D3D"/>
    <w:rsid w:val="00FA11F6"/>
    <w:rsid w:val="00FA2F78"/>
    <w:rsid w:val="00FC1DAA"/>
    <w:rsid w:val="00FC3AE0"/>
    <w:rsid w:val="00FE0A46"/>
    <w:rsid w:val="00FF3A33"/>
    <w:rsid w:val="011031D1"/>
    <w:rsid w:val="02AA1A84"/>
    <w:rsid w:val="02C109EB"/>
    <w:rsid w:val="03804C18"/>
    <w:rsid w:val="042D13E6"/>
    <w:rsid w:val="0444316A"/>
    <w:rsid w:val="04A2015D"/>
    <w:rsid w:val="059D25AD"/>
    <w:rsid w:val="06631CC5"/>
    <w:rsid w:val="07745C2A"/>
    <w:rsid w:val="08B03E69"/>
    <w:rsid w:val="09B75968"/>
    <w:rsid w:val="0A3B6BE9"/>
    <w:rsid w:val="0C6E69EE"/>
    <w:rsid w:val="11464BB6"/>
    <w:rsid w:val="12113088"/>
    <w:rsid w:val="143D67CD"/>
    <w:rsid w:val="15B64A89"/>
    <w:rsid w:val="17867785"/>
    <w:rsid w:val="18B30A11"/>
    <w:rsid w:val="19B41DC1"/>
    <w:rsid w:val="1ACE4623"/>
    <w:rsid w:val="1C9A0C96"/>
    <w:rsid w:val="1CD37CCF"/>
    <w:rsid w:val="1D547064"/>
    <w:rsid w:val="24ED5DE8"/>
    <w:rsid w:val="25D82BCA"/>
    <w:rsid w:val="25FD7B6A"/>
    <w:rsid w:val="272F5B93"/>
    <w:rsid w:val="274B6DD8"/>
    <w:rsid w:val="28FE3909"/>
    <w:rsid w:val="293D49B7"/>
    <w:rsid w:val="2B5F36A9"/>
    <w:rsid w:val="2CE101E6"/>
    <w:rsid w:val="2D90100E"/>
    <w:rsid w:val="2F4A29C0"/>
    <w:rsid w:val="339215C8"/>
    <w:rsid w:val="357D11D8"/>
    <w:rsid w:val="35D10FDA"/>
    <w:rsid w:val="36D44917"/>
    <w:rsid w:val="37437A8B"/>
    <w:rsid w:val="3A086C25"/>
    <w:rsid w:val="3A090C19"/>
    <w:rsid w:val="3BBB1991"/>
    <w:rsid w:val="3F6B2EDB"/>
    <w:rsid w:val="3F73CB93"/>
    <w:rsid w:val="408F5EAA"/>
    <w:rsid w:val="42DD6AC5"/>
    <w:rsid w:val="42E63A08"/>
    <w:rsid w:val="43D901B0"/>
    <w:rsid w:val="446F71BC"/>
    <w:rsid w:val="46EB7C32"/>
    <w:rsid w:val="4740402F"/>
    <w:rsid w:val="492050BA"/>
    <w:rsid w:val="4A467C10"/>
    <w:rsid w:val="4B8C7625"/>
    <w:rsid w:val="4D13771F"/>
    <w:rsid w:val="4DD35C87"/>
    <w:rsid w:val="4E2D7F79"/>
    <w:rsid w:val="4F4D5EDE"/>
    <w:rsid w:val="50A82C45"/>
    <w:rsid w:val="510B436D"/>
    <w:rsid w:val="52D51D51"/>
    <w:rsid w:val="537F14D4"/>
    <w:rsid w:val="548B3222"/>
    <w:rsid w:val="55AD6590"/>
    <w:rsid w:val="5820375D"/>
    <w:rsid w:val="5A604A46"/>
    <w:rsid w:val="5DE81CA0"/>
    <w:rsid w:val="5EBD39ED"/>
    <w:rsid w:val="5EE25574"/>
    <w:rsid w:val="5F021772"/>
    <w:rsid w:val="614957FD"/>
    <w:rsid w:val="61905265"/>
    <w:rsid w:val="62D70746"/>
    <w:rsid w:val="668A09CB"/>
    <w:rsid w:val="66A02C7C"/>
    <w:rsid w:val="678D4AFE"/>
    <w:rsid w:val="69F620C4"/>
    <w:rsid w:val="6C90289E"/>
    <w:rsid w:val="6CB43382"/>
    <w:rsid w:val="6F467FA5"/>
    <w:rsid w:val="71043660"/>
    <w:rsid w:val="71463FBF"/>
    <w:rsid w:val="750202C6"/>
    <w:rsid w:val="75D1743B"/>
    <w:rsid w:val="760D49BA"/>
    <w:rsid w:val="76D9272B"/>
    <w:rsid w:val="77917DE9"/>
    <w:rsid w:val="783E3AD1"/>
    <w:rsid w:val="78A102B4"/>
    <w:rsid w:val="7CA8270B"/>
    <w:rsid w:val="7DFE5C17"/>
    <w:rsid w:val="7E5E47BF"/>
    <w:rsid w:val="7F0F056F"/>
    <w:rsid w:val="7F71277D"/>
    <w:rsid w:val="FEA81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szCs w:val="2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3"/>
    <w:semiHidden/>
    <w:unhideWhenUsed/>
    <w:qFormat/>
    <w:uiPriority w:val="99"/>
    <w:pPr>
      <w:spacing w:after="120"/>
    </w:pPr>
  </w:style>
  <w:style w:type="paragraph" w:styleId="4">
    <w:name w:val="Body Text Indent"/>
    <w:basedOn w:val="1"/>
    <w:link w:val="20"/>
    <w:semiHidden/>
    <w:unhideWhenUsed/>
    <w:qFormat/>
    <w:uiPriority w:val="99"/>
    <w:pPr>
      <w:spacing w:after="120"/>
      <w:ind w:left="420" w:leftChars="200"/>
    </w:pPr>
  </w:style>
  <w:style w:type="paragraph" w:styleId="5">
    <w:name w:val="Plain Text"/>
    <w:basedOn w:val="1"/>
    <w:link w:val="25"/>
    <w:qFormat/>
    <w:uiPriority w:val="0"/>
    <w:rPr>
      <w:rFonts w:ascii="宋体" w:hAnsi="Courier New" w:eastAsia="宋体" w:cs="Times New Roman"/>
      <w:kern w:val="0"/>
      <w:sz w:val="20"/>
      <w:lang w:val="zh-CN"/>
    </w:rPr>
  </w:style>
  <w:style w:type="paragraph" w:styleId="6">
    <w:name w:val="Date"/>
    <w:basedOn w:val="1"/>
    <w:next w:val="1"/>
    <w:link w:val="30"/>
    <w:qFormat/>
    <w:uiPriority w:val="0"/>
    <w:pPr>
      <w:ind w:left="100" w:leftChars="2500"/>
    </w:pPr>
  </w:style>
  <w:style w:type="paragraph" w:styleId="7">
    <w:name w:val="Balloon Text"/>
    <w:basedOn w:val="1"/>
    <w:link w:val="29"/>
    <w:unhideWhenUsed/>
    <w:qFormat/>
    <w:uiPriority w:val="0"/>
    <w:rPr>
      <w:rFonts w:ascii="Times New Roman" w:hAnsi="Times New Roman" w:eastAsia="仿宋_GB2312" w:cs="Times New Roman"/>
      <w:snapToGrid w:val="0"/>
      <w:kern w:val="0"/>
      <w:sz w:val="18"/>
      <w:szCs w:val="18"/>
      <w:lang w:val="zh-CN"/>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link w:val="32"/>
    <w:qFormat/>
    <w:uiPriority w:val="0"/>
    <w:pPr>
      <w:spacing w:after="120" w:line="480" w:lineRule="auto"/>
    </w:pPr>
  </w:style>
  <w:style w:type="paragraph" w:styleId="11">
    <w:name w:val="Body Text First Indent"/>
    <w:basedOn w:val="3"/>
    <w:link w:val="24"/>
    <w:semiHidden/>
    <w:unhideWhenUsed/>
    <w:qFormat/>
    <w:uiPriority w:val="99"/>
    <w:pPr>
      <w:ind w:firstLine="420" w:firstLineChars="100"/>
    </w:pPr>
  </w:style>
  <w:style w:type="paragraph" w:styleId="12">
    <w:name w:val="Body Text First Indent 2"/>
    <w:basedOn w:val="1"/>
    <w:next w:val="1"/>
    <w:link w:val="21"/>
    <w:qFormat/>
    <w:uiPriority w:val="0"/>
    <w:pPr>
      <w:spacing w:after="120"/>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qFormat/>
    <w:uiPriority w:val="0"/>
    <w:rPr>
      <w:color w:val="0000FF"/>
      <w:u w:val="single"/>
    </w:rPr>
  </w:style>
  <w:style w:type="character" w:customStyle="1" w:styleId="18">
    <w:name w:val="页眉 Char"/>
    <w:basedOn w:val="15"/>
    <w:link w:val="9"/>
    <w:qFormat/>
    <w:uiPriority w:val="0"/>
    <w:rPr>
      <w:sz w:val="18"/>
      <w:szCs w:val="18"/>
    </w:rPr>
  </w:style>
  <w:style w:type="character" w:customStyle="1" w:styleId="19">
    <w:name w:val="页脚 Char"/>
    <w:basedOn w:val="15"/>
    <w:link w:val="8"/>
    <w:qFormat/>
    <w:uiPriority w:val="99"/>
    <w:rPr>
      <w:sz w:val="18"/>
      <w:szCs w:val="18"/>
    </w:rPr>
  </w:style>
  <w:style w:type="character" w:customStyle="1" w:styleId="20">
    <w:name w:val="正文文本缩进 Char"/>
    <w:basedOn w:val="15"/>
    <w:link w:val="4"/>
    <w:semiHidden/>
    <w:qFormat/>
    <w:uiPriority w:val="99"/>
    <w:rPr>
      <w:szCs w:val="24"/>
    </w:rPr>
  </w:style>
  <w:style w:type="character" w:customStyle="1" w:styleId="21">
    <w:name w:val="正文首行缩进 2 Char"/>
    <w:basedOn w:val="20"/>
    <w:link w:val="12"/>
    <w:qFormat/>
    <w:uiPriority w:val="0"/>
    <w:rPr>
      <w:szCs w:val="24"/>
    </w:rPr>
  </w:style>
  <w:style w:type="paragraph" w:styleId="22">
    <w:name w:val="List Paragraph"/>
    <w:basedOn w:val="1"/>
    <w:qFormat/>
    <w:uiPriority w:val="0"/>
    <w:pPr>
      <w:ind w:firstLine="420" w:firstLineChars="200"/>
    </w:pPr>
  </w:style>
  <w:style w:type="character" w:customStyle="1" w:styleId="23">
    <w:name w:val="正文文本 Char"/>
    <w:basedOn w:val="15"/>
    <w:link w:val="3"/>
    <w:semiHidden/>
    <w:qFormat/>
    <w:uiPriority w:val="99"/>
    <w:rPr>
      <w:szCs w:val="24"/>
    </w:rPr>
  </w:style>
  <w:style w:type="character" w:customStyle="1" w:styleId="24">
    <w:name w:val="正文首行缩进 Char"/>
    <w:basedOn w:val="23"/>
    <w:link w:val="11"/>
    <w:semiHidden/>
    <w:qFormat/>
    <w:uiPriority w:val="99"/>
    <w:rPr>
      <w:szCs w:val="24"/>
    </w:rPr>
  </w:style>
  <w:style w:type="character" w:customStyle="1" w:styleId="25">
    <w:name w:val="纯文本 Char"/>
    <w:basedOn w:val="15"/>
    <w:link w:val="5"/>
    <w:qFormat/>
    <w:uiPriority w:val="0"/>
    <w:rPr>
      <w:rFonts w:ascii="宋体" w:hAnsi="Courier New" w:eastAsia="宋体" w:cs="Times New Roman"/>
      <w:kern w:val="0"/>
      <w:sz w:val="20"/>
      <w:szCs w:val="24"/>
      <w:lang w:val="zh-CN" w:eastAsia="zh-CN"/>
    </w:rPr>
  </w:style>
  <w:style w:type="paragraph" w:customStyle="1" w:styleId="26">
    <w:name w:val="默认段落字体 Para Char Char Char Char Char Char Char Char Char Char"/>
    <w:basedOn w:val="1"/>
    <w:qFormat/>
    <w:uiPriority w:val="0"/>
    <w:rPr>
      <w:rFonts w:ascii="Arial" w:hAnsi="Arial" w:eastAsia="宋体" w:cs="Arial"/>
      <w:sz w:val="20"/>
      <w:szCs w:val="20"/>
    </w:rPr>
  </w:style>
  <w:style w:type="paragraph" w:customStyle="1" w:styleId="27">
    <w:name w:val="列出段落1"/>
    <w:basedOn w:val="1"/>
    <w:unhideWhenUsed/>
    <w:qFormat/>
    <w:uiPriority w:val="99"/>
    <w:pPr>
      <w:ind w:firstLine="420" w:firstLineChars="200"/>
    </w:pPr>
    <w:rPr>
      <w:rFonts w:ascii="Times New Roman" w:hAnsi="Times New Roman" w:eastAsia="宋体" w:cs="Times New Roman"/>
    </w:rPr>
  </w:style>
  <w:style w:type="table" w:customStyle="1" w:styleId="28">
    <w:name w:val="网格型1"/>
    <w:basedOn w:val="13"/>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
    <w:name w:val="批注框文本 Char"/>
    <w:basedOn w:val="15"/>
    <w:link w:val="7"/>
    <w:qFormat/>
    <w:uiPriority w:val="0"/>
    <w:rPr>
      <w:rFonts w:ascii="Times New Roman" w:hAnsi="Times New Roman" w:eastAsia="仿宋_GB2312" w:cs="Times New Roman"/>
      <w:snapToGrid w:val="0"/>
      <w:kern w:val="0"/>
      <w:sz w:val="18"/>
      <w:szCs w:val="18"/>
      <w:lang w:val="zh-CN" w:eastAsia="zh-CN"/>
    </w:rPr>
  </w:style>
  <w:style w:type="character" w:customStyle="1" w:styleId="30">
    <w:name w:val="日期 Char"/>
    <w:link w:val="6"/>
    <w:qFormat/>
    <w:uiPriority w:val="0"/>
    <w:rPr>
      <w:szCs w:val="24"/>
    </w:rPr>
  </w:style>
  <w:style w:type="character" w:customStyle="1" w:styleId="31">
    <w:name w:val="批注框文本 Char1"/>
    <w:semiHidden/>
    <w:qFormat/>
    <w:uiPriority w:val="99"/>
    <w:rPr>
      <w:kern w:val="2"/>
      <w:sz w:val="18"/>
      <w:szCs w:val="18"/>
    </w:rPr>
  </w:style>
  <w:style w:type="character" w:customStyle="1" w:styleId="32">
    <w:name w:val="正文文本 2 Char"/>
    <w:link w:val="10"/>
    <w:qFormat/>
    <w:uiPriority w:val="0"/>
    <w:rPr>
      <w:szCs w:val="24"/>
    </w:rPr>
  </w:style>
  <w:style w:type="character" w:customStyle="1" w:styleId="33">
    <w:name w:val="页眉 Char1"/>
    <w:semiHidden/>
    <w:qFormat/>
    <w:uiPriority w:val="99"/>
    <w:rPr>
      <w:kern w:val="2"/>
      <w:sz w:val="18"/>
      <w:szCs w:val="18"/>
    </w:rPr>
  </w:style>
  <w:style w:type="character" w:customStyle="1" w:styleId="34">
    <w:name w:val="正文文本 2 Char1"/>
    <w:basedOn w:val="15"/>
    <w:semiHidden/>
    <w:qFormat/>
    <w:uiPriority w:val="99"/>
    <w:rPr>
      <w:szCs w:val="24"/>
    </w:rPr>
  </w:style>
  <w:style w:type="character" w:customStyle="1" w:styleId="35">
    <w:name w:val="页脚 Char1"/>
    <w:semiHidden/>
    <w:qFormat/>
    <w:uiPriority w:val="99"/>
    <w:rPr>
      <w:kern w:val="2"/>
      <w:sz w:val="18"/>
      <w:szCs w:val="18"/>
    </w:rPr>
  </w:style>
  <w:style w:type="character" w:customStyle="1" w:styleId="36">
    <w:name w:val="纯文本 Char1"/>
    <w:semiHidden/>
    <w:qFormat/>
    <w:uiPriority w:val="99"/>
    <w:rPr>
      <w:rFonts w:ascii="宋体" w:hAnsi="Courier New" w:cs="Courier New"/>
      <w:kern w:val="2"/>
      <w:sz w:val="21"/>
      <w:szCs w:val="21"/>
    </w:rPr>
  </w:style>
  <w:style w:type="character" w:customStyle="1" w:styleId="37">
    <w:name w:val="日期 Char1"/>
    <w:basedOn w:val="15"/>
    <w:semiHidden/>
    <w:qFormat/>
    <w:uiPriority w:val="99"/>
    <w:rPr>
      <w:szCs w:val="24"/>
    </w:rPr>
  </w:style>
  <w:style w:type="character" w:customStyle="1" w:styleId="38">
    <w:name w:val="批注框文本 Char2"/>
    <w:semiHidden/>
    <w:qFormat/>
    <w:uiPriority w:val="99"/>
    <w:rPr>
      <w:kern w:val="2"/>
      <w:sz w:val="18"/>
      <w:szCs w:val="18"/>
    </w:rPr>
  </w:style>
  <w:style w:type="paragraph" w:customStyle="1" w:styleId="39">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40">
    <w:name w:val="Char Char1"/>
    <w:basedOn w:val="1"/>
    <w:qFormat/>
    <w:uiPriority w:val="0"/>
    <w:rPr>
      <w:rFonts w:ascii="Arial" w:hAnsi="Arial" w:eastAsia="宋体" w:cs="Arial"/>
      <w:sz w:val="20"/>
      <w:szCs w:val="20"/>
    </w:rPr>
  </w:style>
  <w:style w:type="character" w:customStyle="1" w:styleId="41">
    <w:name w:val="font12"/>
    <w:basedOn w:val="15"/>
    <w:qFormat/>
    <w:uiPriority w:val="0"/>
    <w:rPr>
      <w:rFonts w:hint="eastAsia" w:ascii="方正仿宋_GBK" w:hAnsi="方正仿宋_GBK" w:eastAsia="方正仿宋_GBK" w:cs="方正仿宋_GBK"/>
      <w:b/>
      <w:bCs/>
      <w:color w:val="000000"/>
      <w:sz w:val="28"/>
      <w:szCs w:val="28"/>
      <w:u w:val="none"/>
    </w:rPr>
  </w:style>
  <w:style w:type="character" w:customStyle="1" w:styleId="42">
    <w:name w:val="font111"/>
    <w:basedOn w:val="15"/>
    <w:qFormat/>
    <w:uiPriority w:val="0"/>
    <w:rPr>
      <w:rFonts w:hint="default" w:ascii="Times New Roman" w:hAnsi="Times New Roman" w:cs="Times New Roman"/>
      <w:b/>
      <w:bCs/>
      <w:color w:val="000000"/>
      <w:sz w:val="28"/>
      <w:szCs w:val="28"/>
      <w:u w:val="none"/>
    </w:rPr>
  </w:style>
  <w:style w:type="character" w:customStyle="1" w:styleId="43">
    <w:name w:val="font11"/>
    <w:basedOn w:val="15"/>
    <w:qFormat/>
    <w:uiPriority w:val="0"/>
    <w:rPr>
      <w:rFonts w:hint="default" w:ascii="方正仿宋_GB18030" w:hAnsi="方正仿宋_GB18030" w:eastAsia="方正仿宋_GB18030" w:cs="方正仿宋_GB18030"/>
      <w:b/>
      <w:bCs/>
      <w:color w:val="000000"/>
      <w:sz w:val="18"/>
      <w:szCs w:val="18"/>
      <w:u w:val="none"/>
    </w:rPr>
  </w:style>
  <w:style w:type="character" w:customStyle="1" w:styleId="44">
    <w:name w:val="font21"/>
    <w:basedOn w:val="15"/>
    <w:qFormat/>
    <w:uiPriority w:val="0"/>
    <w:rPr>
      <w:rFonts w:hint="default" w:ascii="方正仿宋_GB18030" w:hAnsi="方正仿宋_GB18030" w:eastAsia="方正仿宋_GB18030" w:cs="方正仿宋_GB18030"/>
      <w:color w:val="000000"/>
      <w:sz w:val="18"/>
      <w:szCs w:val="18"/>
      <w:u w:val="none"/>
    </w:rPr>
  </w:style>
  <w:style w:type="character" w:customStyle="1" w:styleId="45">
    <w:name w:val="font31"/>
    <w:basedOn w:val="15"/>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contoso</Company>
  <Pages>28</Pages>
  <Words>11413</Words>
  <Characters>12126</Characters>
  <Lines>6</Lines>
  <Paragraphs>1</Paragraphs>
  <TotalTime>15</TotalTime>
  <ScaleCrop>false</ScaleCrop>
  <LinksUpToDate>false</LinksUpToDate>
  <CharactersWithSpaces>12366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2024-11-13T17:57:00Z</dcterms:created>
  <dc:creator>Windows 用户</dc:creator>
  <cp:lastModifiedBy>joylove35</cp:lastModifiedBy>
  <cp:lastPrinted>2025-05-28T09:38:00Z</cp:lastPrinted>
  <dcterms:modified xsi:type="dcterms:W3CDTF">2025-07-17T06:45:37Z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E6AB30F131194147859444E8F49834B3_13</vt:lpwstr>
  </property>
  <property fmtid="{D5CDD505-2E9C-101B-9397-08002B2CF9AE}" pid="4" name="KSOTemplateDocerSaveRecord">
    <vt:lpwstr>eyJoZGlkIjoiNTQ5MTI2MWZiOTJjNjA1NGE5MzI0OTdlZDAwY2RmM2YiLCJ1c2VySWQiOiI4NzI4NDU1MDcifQ==</vt:lpwstr>
  </property>
</Properties>
</file>