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A45BA">
      <w:pPr>
        <w:jc w:val="both"/>
        <w:rPr>
          <w:rFonts w:hint="eastAsia" w:ascii="方正仿宋_GBK" w:hAnsi="方正仿宋_GBK" w:eastAsia="方正仿宋_GBK" w:cs="方正仿宋_GBK"/>
          <w:sz w:val="32"/>
          <w:szCs w:val="32"/>
          <w:lang w:val="en-US" w:eastAsia="zh-CN"/>
        </w:rPr>
      </w:pPr>
    </w:p>
    <w:p w14:paraId="0FE1A3AF">
      <w:pPr>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44"/>
          <w:szCs w:val="44"/>
        </w:rPr>
        <w:t>投标人须知</w:t>
      </w:r>
    </w:p>
    <w:p w14:paraId="59E6FB9C">
      <w:pPr>
        <w:pStyle w:val="14"/>
        <w:ind w:firstLine="360"/>
        <w:jc w:val="center"/>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第一章 竞争性谈判条件</w:t>
      </w:r>
    </w:p>
    <w:p w14:paraId="3A68F8B5">
      <w:pPr>
        <w:rPr>
          <w:rFonts w:hint="default" w:ascii="Times New Roman" w:hAnsi="Times New Roman" w:eastAsia="方正仿宋_GBK" w:cs="Times New Roman"/>
          <w:b/>
          <w:bCs/>
          <w:color w:val="auto"/>
          <w:sz w:val="30"/>
          <w:szCs w:val="30"/>
        </w:rPr>
      </w:pPr>
    </w:p>
    <w:p w14:paraId="44DA219A">
      <w:pPr>
        <w:pStyle w:val="14"/>
        <w:numPr>
          <w:ilvl w:val="0"/>
          <w:numId w:val="0"/>
        </w:numPr>
        <w:spacing w:after="0"/>
        <w:ind w:left="1360" w:leftChars="0" w:hanging="720" w:firstLineChars="0"/>
        <w:rPr>
          <w:rFonts w:hint="eastAsia" w:ascii="方正黑体_GBK" w:hAnsi="方正黑体_GBK" w:eastAsia="方正黑体_GBK" w:cs="方正黑体_GBK"/>
          <w:color w:val="auto"/>
          <w:sz w:val="32"/>
          <w:szCs w:val="32"/>
          <w:u w:val="single"/>
        </w:rPr>
      </w:pPr>
      <w:r>
        <w:rPr>
          <w:rFonts w:hint="default" w:ascii="方正黑体_GBK" w:hAnsi="方正黑体_GBK" w:eastAsia="方正黑体_GBK" w:cs="方正黑体_GBK"/>
          <w:color w:val="auto"/>
          <w:kern w:val="2"/>
          <w:sz w:val="32"/>
          <w:szCs w:val="32"/>
          <w:u w:val="none"/>
          <w:lang w:val="en-US" w:eastAsia="zh-CN" w:bidi="ar-SA"/>
        </w:rPr>
        <w:t>一、</w:t>
      </w:r>
      <w:r>
        <w:rPr>
          <w:rFonts w:hint="eastAsia" w:ascii="方正黑体_GBK" w:hAnsi="方正黑体_GBK" w:eastAsia="方正黑体_GBK" w:cs="方正黑体_GBK"/>
          <w:color w:val="auto"/>
          <w:sz w:val="32"/>
          <w:szCs w:val="32"/>
        </w:rPr>
        <w:t>项目概况及招标范围</w:t>
      </w:r>
    </w:p>
    <w:p w14:paraId="45BDB8AE">
      <w:pPr>
        <w:pStyle w:val="14"/>
        <w:spacing w:after="0"/>
        <w:ind w:left="0" w:leftChars="0" w:firstLine="640" w:firstLineChars="200"/>
        <w:jc w:val="both"/>
        <w:rPr>
          <w:rFonts w:hint="eastAsia" w:ascii="方正仿宋_GB2312" w:hAnsi="方正仿宋_GB2312" w:eastAsia="方正仿宋_GB2312" w:cs="方正仿宋_GB2312"/>
          <w:color w:val="auto"/>
          <w:spacing w:val="-20"/>
          <w:kern w:val="2"/>
          <w:sz w:val="32"/>
          <w:szCs w:val="32"/>
          <w:u w:val="single"/>
          <w:lang w:val="en-US" w:eastAsia="zh-CN" w:bidi="ar-SA"/>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eastAsia="zh-CN"/>
        </w:rPr>
        <w:t>项目</w:t>
      </w:r>
      <w:r>
        <w:rPr>
          <w:rFonts w:hint="eastAsia" w:ascii="方正楷体_GBK" w:hAnsi="方正楷体_GBK" w:eastAsia="方正楷体_GBK" w:cs="方正楷体_GBK"/>
          <w:color w:val="auto"/>
          <w:sz w:val="32"/>
          <w:szCs w:val="32"/>
        </w:rPr>
        <w:t>名称：</w:t>
      </w:r>
      <w:r>
        <w:rPr>
          <w:rFonts w:hint="eastAsia" w:ascii="方正仿宋_GB2312" w:hAnsi="方正仿宋_GB2312" w:eastAsia="方正仿宋_GB2312" w:cs="方正仿宋_GB2312"/>
          <w:color w:val="auto"/>
          <w:spacing w:val="-20"/>
          <w:kern w:val="2"/>
          <w:sz w:val="32"/>
          <w:szCs w:val="32"/>
          <w:u w:val="single"/>
          <w:lang w:val="en-US" w:eastAsia="zh-CN" w:bidi="ar-SA"/>
        </w:rPr>
        <w:t>龙商担保公司见贷即保业务专项法律服务。</w:t>
      </w:r>
    </w:p>
    <w:p w14:paraId="362F4AA0">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560" w:firstLineChars="200"/>
        <w:jc w:val="both"/>
        <w:textAlignment w:val="auto"/>
        <w:rPr>
          <w:rFonts w:hint="eastAsia" w:ascii="方正仿宋_GB2312" w:hAnsi="方正仿宋_GB2312" w:eastAsia="方正仿宋_GB2312" w:cs="方正仿宋_GB2312"/>
          <w:color w:val="auto"/>
          <w:spacing w:val="-20"/>
          <w:kern w:val="2"/>
          <w:sz w:val="32"/>
          <w:szCs w:val="32"/>
          <w:lang w:val="en-US" w:eastAsia="zh-CN" w:bidi="ar-SA"/>
        </w:rPr>
      </w:pPr>
      <w:r>
        <w:rPr>
          <w:rFonts w:hint="eastAsia" w:ascii="方正楷体_GBK" w:hAnsi="方正楷体_GBK" w:eastAsia="方正楷体_GBK" w:cs="方正楷体_GBK"/>
          <w:color w:val="auto"/>
          <w:spacing w:val="-20"/>
          <w:kern w:val="2"/>
          <w:sz w:val="32"/>
          <w:szCs w:val="32"/>
          <w:lang w:val="en-US" w:eastAsia="zh-CN" w:bidi="ar-SA"/>
        </w:rPr>
        <w:t>（二）公司地址：</w:t>
      </w:r>
      <w:r>
        <w:rPr>
          <w:rFonts w:hint="eastAsia" w:ascii="方正仿宋_GB2312" w:hAnsi="方正仿宋_GB2312" w:eastAsia="方正仿宋_GB2312" w:cs="方正仿宋_GB2312"/>
          <w:color w:val="auto"/>
          <w:spacing w:val="-20"/>
          <w:kern w:val="2"/>
          <w:sz w:val="32"/>
          <w:szCs w:val="32"/>
          <w:lang w:val="en-US" w:eastAsia="zh-CN" w:bidi="ar-SA"/>
        </w:rPr>
        <w:t>九龙坡区融堃彩云里15楼龙商担保公司。</w:t>
      </w:r>
    </w:p>
    <w:p w14:paraId="341950B8">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560" w:firstLineChars="200"/>
        <w:jc w:val="both"/>
        <w:textAlignment w:val="auto"/>
        <w:rPr>
          <w:rFonts w:hint="eastAsia" w:ascii="方正楷体_GBK" w:hAnsi="方正楷体_GBK" w:eastAsia="方正楷体_GBK" w:cs="方正楷体_GBK"/>
          <w:color w:val="auto"/>
          <w:spacing w:val="-20"/>
          <w:kern w:val="2"/>
          <w:sz w:val="32"/>
          <w:szCs w:val="32"/>
          <w:lang w:val="en-US" w:eastAsia="zh-CN" w:bidi="ar-SA"/>
        </w:rPr>
      </w:pPr>
      <w:r>
        <w:rPr>
          <w:rFonts w:hint="eastAsia" w:ascii="方正楷体_GBK" w:hAnsi="方正楷体_GBK" w:eastAsia="方正楷体_GBK" w:cs="方正楷体_GBK"/>
          <w:color w:val="auto"/>
          <w:spacing w:val="-20"/>
          <w:kern w:val="2"/>
          <w:sz w:val="32"/>
          <w:szCs w:val="32"/>
          <w:lang w:val="en-US" w:eastAsia="zh-CN" w:bidi="ar-SA"/>
        </w:rPr>
        <w:t>（三）招标范围：</w:t>
      </w:r>
    </w:p>
    <w:p w14:paraId="285A553C">
      <w:pPr>
        <w:numPr>
          <w:ilvl w:val="0"/>
          <w:numId w:val="0"/>
        </w:numPr>
        <w:ind w:firstLine="640" w:firstLineChars="200"/>
        <w:rPr>
          <w:rFonts w:hint="default" w:ascii="方正黑体_GBK" w:hAnsi="方正黑体_GBK" w:eastAsia="方正黑体_GBK" w:cs="方正黑体_GBK"/>
          <w:b w:val="0"/>
          <w:bCs w:val="0"/>
          <w:i w:val="0"/>
          <w:caps w:val="0"/>
          <w:color w:val="171A1D"/>
          <w:spacing w:val="0"/>
          <w:sz w:val="30"/>
          <w:szCs w:val="30"/>
          <w:highlight w:val="none"/>
          <w:shd w:val="clear" w:fill="FFFFFF"/>
          <w:lang w:val="en-US" w:eastAsia="zh-CN"/>
        </w:rPr>
      </w:pPr>
      <w:r>
        <w:rPr>
          <w:rFonts w:hint="eastAsia" w:ascii="方正楷体_GBK" w:hAnsi="方正楷体_GBK" w:eastAsia="方正楷体_GBK" w:cs="方正楷体_GBK"/>
          <w:sz w:val="32"/>
          <w:szCs w:val="32"/>
          <w:highlight w:val="none"/>
          <w:lang w:val="en-US" w:eastAsia="zh-CN"/>
        </w:rPr>
        <w:t>1.服务内容</w:t>
      </w:r>
    </w:p>
    <w:p w14:paraId="45CB74FC">
      <w:pPr>
        <w:numPr>
          <w:ilvl w:val="0"/>
          <w:numId w:val="0"/>
        </w:numPr>
        <w:ind w:firstLine="640" w:firstLineChars="200"/>
        <w:rPr>
          <w:rFonts w:hint="default"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（1）参与见贷即保业务经营场地走访，收集相关涉及刑事、民事案件资料；</w:t>
      </w:r>
    </w:p>
    <w:p w14:paraId="1CF25942">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 xml:space="preserve">（2）见贷即保业务日常法律顾问服务（提供口头或律师签署的书面咨询意见等）；                      </w:t>
      </w:r>
    </w:p>
    <w:p w14:paraId="2138A0DE">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（3）协助完善见贷即保业务内控制度（涉及公司相应的管理及业务流程）；</w:t>
      </w:r>
    </w:p>
    <w:p w14:paraId="579CD8EB">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（4）参与见贷即保业务产品及流程修改完善服务；</w:t>
      </w:r>
    </w:p>
    <w:p w14:paraId="2A47994D">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（5）对见贷即保业务的专项问题论证、重大合同专项法律审核、重大事项提出法律意见并出具法律意见书；</w:t>
      </w:r>
    </w:p>
    <w:p w14:paraId="2218EB82">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（6）起草、审查、修改见贷即保业务相关的合同，包括针对公司现有的格式合同和其他标准格式文件的修订及拟定相关函件；</w:t>
      </w:r>
    </w:p>
    <w:p w14:paraId="4FAC1710">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（7）结合公司实际需求，适时安排律师参与见贷即保业务相关的会议、对外谈判与协商活动；</w:t>
      </w:r>
    </w:p>
    <w:p w14:paraId="64BFDD04">
      <w:pPr>
        <w:numPr>
          <w:ilvl w:val="0"/>
          <w:numId w:val="0"/>
        </w:numPr>
        <w:ind w:firstLine="640" w:firstLineChars="200"/>
        <w:rPr>
          <w:rFonts w:hint="default"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（8）根据公司需求，作为公司涉及见贷即保业务相关的民事、刑事诉讼代理人；</w:t>
      </w:r>
    </w:p>
    <w:p w14:paraId="5B0B73EA">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（9）通过采取包括不限于刑事手段、民事诉讼、资产转让、不良资产处置、协商等方式化解龙商担保公司就见贷即保业务应承担债务金额。</w:t>
      </w:r>
    </w:p>
    <w:p w14:paraId="5DA1AA93">
      <w:pPr>
        <w:numPr>
          <w:ilvl w:val="0"/>
          <w:numId w:val="0"/>
        </w:numPr>
        <w:ind w:firstLine="640" w:firstLineChars="200"/>
        <w:rPr>
          <w:rFonts w:hint="default"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2.服务费用</w:t>
      </w:r>
    </w:p>
    <w:p w14:paraId="334C45C4">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（1）本次采取半风险代理的方式：基础律师服务费+风险化解金额提成的方式。</w:t>
      </w:r>
    </w:p>
    <w:p w14:paraId="05F409CB">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（2）基础律师服务费：最高限价15万元</w:t>
      </w:r>
      <w:r>
        <w:rPr>
          <w:rFonts w:hint="eastAsia" w:ascii="方正仿宋_GBK" w:hAnsi="方正仿宋_GBK" w:eastAsia="方正仿宋_GBK" w:cs="方正仿宋_GBK"/>
          <w:sz w:val="32"/>
          <w:szCs w:val="32"/>
          <w:lang w:val="en-US" w:eastAsia="zh-CN"/>
        </w:rPr>
        <w:t>（投标人报价不得超过最高限价，否则，均被认定为资格性、符合性审查不合格）。</w:t>
      </w:r>
      <w:r>
        <w:rPr>
          <w:rFonts w:hint="eastAsia" w:ascii="方正仿宋_GBK" w:hAnsi="方正仿宋_GBK" w:eastAsia="方正仿宋_GBK" w:cs="方正仿宋_GBK"/>
          <w:sz w:val="32"/>
          <w:szCs w:val="32"/>
          <w:highlight w:val="none"/>
          <w:lang w:val="en-US" w:eastAsia="zh-CN"/>
        </w:rPr>
        <w:t>基础律师服务费于服务合同签订后30日内一次性付清；</w:t>
      </w:r>
      <w:r>
        <w:rPr>
          <w:rFonts w:hint="eastAsia" w:ascii="方正仿宋_GBK" w:hAnsi="方正仿宋_GBK" w:eastAsia="方正仿宋_GBK" w:cs="方正仿宋_GBK"/>
          <w:sz w:val="32"/>
          <w:szCs w:val="32"/>
          <w:highlight w:val="none"/>
        </w:rPr>
        <w:t>基础律师服务费服务范围包含见贷即保项下所有项目（除已结清项目外）</w:t>
      </w:r>
      <w:r>
        <w:rPr>
          <w:rFonts w:hint="eastAsia" w:ascii="方正仿宋_GBK" w:hAnsi="方正仿宋_GBK" w:eastAsia="方正仿宋_GBK" w:cs="方正仿宋_GBK"/>
          <w:sz w:val="32"/>
          <w:szCs w:val="32"/>
          <w:highlight w:val="none"/>
          <w:lang w:eastAsia="zh-CN"/>
        </w:rPr>
        <w:t>。</w:t>
      </w:r>
    </w:p>
    <w:p w14:paraId="3999E210">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（3）风险代理服务费：</w:t>
      </w:r>
      <w:r>
        <w:rPr>
          <w:rFonts w:hint="eastAsia" w:ascii="方正仿宋_GBK" w:hAnsi="方正仿宋_GBK" w:eastAsia="方正仿宋_GBK" w:cs="方正仿宋_GBK"/>
          <w:sz w:val="32"/>
          <w:szCs w:val="32"/>
          <w:highlight w:val="none"/>
        </w:rPr>
        <w:t>风险代理服务费计费基础为龙商担保公司见贷即保项下未首次成功续贷的所有项目，应对浙商银行承担的债务金额，</w:t>
      </w:r>
      <w:r>
        <w:rPr>
          <w:rFonts w:hint="eastAsia" w:ascii="方正仿宋_GBK" w:hAnsi="方正仿宋_GBK" w:eastAsia="方正仿宋_GBK" w:cs="方正仿宋_GBK"/>
          <w:sz w:val="32"/>
          <w:szCs w:val="32"/>
          <w:highlight w:val="none"/>
          <w:lang w:val="en-US" w:eastAsia="zh-CN"/>
        </w:rPr>
        <w:t>经律所协助采取包括不限于刑事手段、民事诉讼、资产转让、不良资产处置、协商等方式得到化解的，则以龙商担保公司应承担债务金额与最终承担债务额度之间的差额部分（化债金额）为基数按5%收取风险代理费。风险代理费于债务化解之日起30日内按上述比例笔笔付清。</w:t>
      </w:r>
    </w:p>
    <w:p w14:paraId="088D5BB6">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龙商担保公司应承担债务金额指：龙商担保公司因为见贷即保业务为浙商银行相关贷款提供担保，贷款人债务违约导致龙商担保公司被浙商银行根据担保协议主张担保责任的金额。</w:t>
      </w:r>
    </w:p>
    <w:p w14:paraId="5F79A36A">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龙商担保公司最终承担债务额度指：龙商担保公司与浙商银行签订化债协议最终由龙商担保公司实际承担的金额，或由龙商担保公司指定的第三方公司与相关公司签订见贷即保业务资产包的不良资产收购合同确定的实际债权转让价款金额。</w:t>
      </w:r>
    </w:p>
    <w:p w14:paraId="26494B41">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债务化解之日指：龙商担保公司与浙商银行签订化债协议、或由龙商担保公司指定的第三方公司与相关公司签订见贷即保业务资产包的不良资产收购合同之日。</w:t>
      </w:r>
    </w:p>
    <w:p w14:paraId="31EAF3F5">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化债金额包括本息及其他根据合同约定应承担的相关费用等。根据律所服务，相关贷款人在已逾期的情况下实际归还了贷款，导致龙商担保公司未被浙商银行主张承担担保责任，该部分归还金额亦应计入化债金额。</w:t>
      </w:r>
    </w:p>
    <w:p w14:paraId="7BFF7781">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（4）报价包括但不限于律师费、差旅费、管理费、利润、风险费、税费等所有费用，不因政策文件及市场行情变化而调整。</w:t>
      </w:r>
    </w:p>
    <w:p w14:paraId="1915A276">
      <w:pPr>
        <w:numPr>
          <w:ilvl w:val="0"/>
          <w:numId w:val="0"/>
        </w:numPr>
        <w:ind w:firstLine="640" w:firstLineChars="200"/>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3.服务期限</w:t>
      </w:r>
    </w:p>
    <w:p w14:paraId="2E4D9AC1">
      <w:pPr>
        <w:numPr>
          <w:ilvl w:val="0"/>
          <w:numId w:val="0"/>
        </w:numPr>
        <w:ind w:firstLine="640" w:firstLineChars="200"/>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sz w:val="32"/>
          <w:szCs w:val="32"/>
          <w:highlight w:val="none"/>
          <w:lang w:val="en-US" w:eastAsia="zh-CN"/>
        </w:rPr>
        <w:t>服务期限为委托代理合同签订之日起至委托事项终止之日止。若服务期限内，服务律所处理风险化解成效不明显，根据上级部门意见，龙商担保公司有权解除服务合同；同时，根据服务律所工作投入清算服务费</w:t>
      </w:r>
      <w:r>
        <w:rPr>
          <w:rFonts w:hint="eastAsia" w:ascii="方正仿宋_GBK" w:hAnsi="方正仿宋_GBK" w:eastAsia="方正仿宋_GBK" w:cs="方正仿宋_GBK"/>
          <w:b w:val="0"/>
          <w:bCs w:val="0"/>
          <w:kern w:val="2"/>
          <w:sz w:val="32"/>
          <w:szCs w:val="32"/>
          <w:highlight w:val="none"/>
          <w:lang w:val="en-US" w:eastAsia="zh-CN" w:bidi="ar-SA"/>
        </w:rPr>
        <w:t>。</w:t>
      </w:r>
    </w:p>
    <w:p w14:paraId="4835D8AD">
      <w:pPr>
        <w:pStyle w:val="14"/>
        <w:numPr>
          <w:ilvl w:val="0"/>
          <w:numId w:val="0"/>
        </w:numPr>
        <w:spacing w:after="0"/>
        <w:ind w:firstLine="3200" w:firstLineChars="1000"/>
        <w:jc w:val="both"/>
        <w:rPr>
          <w:rFonts w:hint="default" w:ascii="Times New Roman" w:hAnsi="Times New Roman" w:eastAsia="方正仿宋_GBK" w:cs="Times New Roman"/>
          <w:color w:val="auto"/>
          <w:sz w:val="32"/>
          <w:szCs w:val="32"/>
          <w:lang w:val="en-US"/>
        </w:rPr>
      </w:pPr>
      <w:r>
        <w:rPr>
          <w:rFonts w:hint="default" w:ascii="方正黑体_GBK" w:hAnsi="Times New Roman" w:eastAsia="方正黑体_GBK" w:cs="Times New Roman"/>
          <w:color w:val="auto"/>
          <w:kern w:val="2"/>
          <w:sz w:val="32"/>
          <w:szCs w:val="32"/>
          <w:u w:val="none"/>
          <w:lang w:val="en-US" w:eastAsia="zh-CN" w:bidi="ar-SA"/>
        </w:rPr>
        <w:t>二、</w:t>
      </w:r>
      <w:r>
        <w:rPr>
          <w:rFonts w:hint="eastAsia" w:ascii="方正黑体_GBK" w:hAnsi="方正黑体_GBK" w:eastAsia="方正黑体_GBK" w:cs="方正黑体_GBK"/>
          <w:color w:val="auto"/>
          <w:sz w:val="32"/>
          <w:szCs w:val="32"/>
          <w:lang w:val="en-US" w:eastAsia="zh-CN"/>
        </w:rPr>
        <w:t>服务方式</w:t>
      </w:r>
    </w:p>
    <w:p w14:paraId="3B1081A4">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（一）为确保见贷即保专项法律服务的律师团队对公司见贷即保业务服务事项的专注性及及时性，应考虑公司实际</w:t>
      </w:r>
      <w:r>
        <w:rPr>
          <w:rFonts w:hint="eastAsia" w:ascii="方正仿宋_GBK" w:hAnsi="方正仿宋_GBK" w:eastAsia="方正仿宋_GBK" w:cs="方正仿宋_GBK"/>
          <w:sz w:val="32"/>
          <w:szCs w:val="32"/>
          <w:highlight w:val="none"/>
          <w:lang w:val="en-US" w:eastAsia="zh-CN"/>
        </w:rPr>
        <w:t>情况及工作性质等进行成员及分工的合理搭配，配备专业性强的法律服务律师团队，且不得随意更换服务团队律师。</w:t>
      </w:r>
    </w:p>
    <w:p w14:paraId="191AED6E">
      <w:pPr>
        <w:pStyle w:val="14"/>
        <w:numPr>
          <w:ilvl w:val="0"/>
          <w:numId w:val="0"/>
        </w:numPr>
        <w:spacing w:after="0"/>
        <w:ind w:firstLine="640" w:firstLineChars="200"/>
        <w:jc w:val="both"/>
        <w:rPr>
          <w:rFonts w:hint="default" w:ascii="方正仿宋_GBK" w:hAnsi="方正仿宋_GBK" w:eastAsia="方正仿宋_GBK" w:cs="方正仿宋_GBK"/>
          <w:b w:val="0"/>
          <w:bCs w:val="0"/>
          <w:i w:val="0"/>
          <w:caps w:val="0"/>
          <w:color w:val="171A1D"/>
          <w:spacing w:val="0"/>
          <w:kern w:val="2"/>
          <w:sz w:val="32"/>
          <w:szCs w:val="32"/>
          <w:highlight w:val="none"/>
          <w:shd w:val="clear" w:fill="FFFFFF"/>
          <w:lang w:val="en-US" w:eastAsia="zh-CN" w:bidi="ar-SA"/>
        </w:rPr>
      </w:pPr>
      <w:r>
        <w:rPr>
          <w:rFonts w:hint="eastAsia" w:ascii="方正仿宋_GBK" w:hAnsi="方正仿宋_GBK" w:eastAsia="方正仿宋_GBK" w:cs="方正仿宋_GBK"/>
          <w:b w:val="0"/>
          <w:bCs w:val="0"/>
          <w:i w:val="0"/>
          <w:caps w:val="0"/>
          <w:color w:val="171A1D"/>
          <w:spacing w:val="0"/>
          <w:kern w:val="2"/>
          <w:sz w:val="32"/>
          <w:szCs w:val="32"/>
          <w:highlight w:val="none"/>
          <w:shd w:val="clear" w:fill="FFFFFF"/>
          <w:lang w:val="en-US" w:eastAsia="zh-CN" w:bidi="ar-SA"/>
        </w:rPr>
        <w:t>（二）提供见贷即保专项法律服务的顾问律师在处理相关工作时，常规法律事务须在6工作小时内予以反馈、合同拟定须在2个工作日内完成、如遇紧急事项，需在当日内完成。</w:t>
      </w:r>
    </w:p>
    <w:p w14:paraId="4EF54FD1">
      <w:pPr>
        <w:pStyle w:val="14"/>
        <w:spacing w:after="0"/>
        <w:ind w:firstLine="2880" w:firstLineChars="900"/>
        <w:jc w:val="both"/>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三、</w:t>
      </w:r>
      <w:r>
        <w:rPr>
          <w:rFonts w:hint="eastAsia" w:ascii="方正黑体_GBK" w:hAnsi="方正黑体_GBK" w:eastAsia="方正黑体_GBK" w:cs="方正黑体_GBK"/>
          <w:color w:val="auto"/>
          <w:sz w:val="32"/>
          <w:szCs w:val="32"/>
          <w:lang w:eastAsia="zh-CN"/>
        </w:rPr>
        <w:t>资格要求</w:t>
      </w:r>
    </w:p>
    <w:p w14:paraId="535F0A80">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（一）律师事务所依法注册成立八年以上，通过年检并持有效律师事务所执业许可证；</w:t>
      </w:r>
    </w:p>
    <w:p w14:paraId="0FC26176">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（二）律师事务所具有较强的综合实力和专业优势，拥有50名及以上从业人员，近三年为至少一家国有融资担保机构提供常年法律顾问或项目服务；</w:t>
      </w:r>
    </w:p>
    <w:p w14:paraId="58513134">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 xml:space="preserve">（三）律师团队应熟悉司法机关、仲裁机构、政府机构业务相关操作流程及惯例； </w:t>
      </w:r>
    </w:p>
    <w:p w14:paraId="133AC910">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（四）律师团队成员至少应包括一名项目负责人（高级合伙人律师）、一名主办律师。</w:t>
      </w:r>
      <w:r>
        <w:rPr>
          <w:rFonts w:hint="eastAsia" w:ascii="方正仿宋_GBK" w:hAnsi="方正仿宋_GBK" w:eastAsia="方正仿宋_GBK" w:cs="方正仿宋_GBK"/>
          <w:sz w:val="32"/>
          <w:szCs w:val="32"/>
          <w:lang w:val="en-US" w:eastAsia="zh-CN"/>
        </w:rPr>
        <w:t>其中，团队负责人在金融领域具有10年以上法律服务经验，主办律师在金融领域具有5年以上法律服务经验</w:t>
      </w: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（提供事务所执业许可证复印件、事务所简介、律师履历）。</w:t>
      </w:r>
    </w:p>
    <w:p w14:paraId="39B45A83">
      <w:pPr>
        <w:pStyle w:val="14"/>
        <w:spacing w:after="0"/>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四</w:t>
      </w:r>
      <w:r>
        <w:rPr>
          <w:rFonts w:hint="eastAsia" w:ascii="方正黑体_GBK" w:hAnsi="方正黑体_GBK" w:eastAsia="方正黑体_GBK" w:cs="方正黑体_GBK"/>
          <w:color w:val="auto"/>
          <w:sz w:val="32"/>
          <w:szCs w:val="32"/>
        </w:rPr>
        <w:t>、其他</w:t>
      </w:r>
    </w:p>
    <w:p w14:paraId="2E9C203F">
      <w:pPr>
        <w:pStyle w:val="14"/>
        <w:spacing w:after="0"/>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是否接受联合体投标：</w:t>
      </w:r>
      <w:r>
        <w:rPr>
          <w:rFonts w:hint="default" w:ascii="Times New Roman" w:hAnsi="Times New Roman" w:eastAsia="方正仿宋_GBK" w:cs="Times New Roman"/>
          <w:b w:val="0"/>
          <w:bCs w:val="0"/>
          <w:color w:val="auto"/>
          <w:sz w:val="32"/>
          <w:szCs w:val="32"/>
          <w:u w:val="single"/>
        </w:rPr>
        <w:t xml:space="preserve"> 否 </w:t>
      </w:r>
      <w:r>
        <w:rPr>
          <w:rFonts w:hint="default" w:ascii="Times New Roman" w:hAnsi="Times New Roman" w:eastAsia="方正仿宋_GBK" w:cs="Times New Roman"/>
          <w:b w:val="0"/>
          <w:bCs w:val="0"/>
          <w:color w:val="auto"/>
          <w:sz w:val="32"/>
          <w:szCs w:val="32"/>
        </w:rPr>
        <w:t>。</w:t>
      </w:r>
    </w:p>
    <w:p w14:paraId="5240AF89">
      <w:pPr>
        <w:jc w:val="center"/>
        <w:rPr>
          <w:rFonts w:hint="default" w:ascii="Times New Roman" w:hAnsi="Times New Roman" w:eastAsia="方正仿宋_GBK" w:cs="Times New Roman"/>
          <w:color w:val="auto"/>
          <w:sz w:val="30"/>
          <w:szCs w:val="30"/>
        </w:rPr>
      </w:pPr>
    </w:p>
    <w:p w14:paraId="06FC57B2">
      <w:pPr>
        <w:jc w:val="center"/>
        <w:rPr>
          <w:rFonts w:hint="eastAsia" w:ascii="方正黑体_GBK" w:hAnsi="方正黑体_GBK" w:eastAsia="方正黑体_GBK" w:cs="方正黑体_GBK"/>
          <w:color w:val="auto"/>
          <w:sz w:val="36"/>
          <w:szCs w:val="36"/>
        </w:rPr>
      </w:pPr>
    </w:p>
    <w:p w14:paraId="5E06A928">
      <w:pPr>
        <w:jc w:val="center"/>
        <w:rPr>
          <w:rFonts w:hint="default" w:ascii="Times New Roman" w:hAnsi="Times New Roman" w:eastAsia="方正仿宋_GBK" w:cs="Times New Roman"/>
          <w:color w:val="auto"/>
          <w:sz w:val="36"/>
          <w:szCs w:val="36"/>
        </w:rPr>
      </w:pPr>
      <w:r>
        <w:rPr>
          <w:rFonts w:hint="eastAsia" w:ascii="方正黑体_GBK" w:hAnsi="方正黑体_GBK" w:eastAsia="方正黑体_GBK" w:cs="方正黑体_GBK"/>
          <w:color w:val="auto"/>
          <w:sz w:val="36"/>
          <w:szCs w:val="36"/>
        </w:rPr>
        <w:t>第二章 谈判投标文件的制作</w:t>
      </w:r>
    </w:p>
    <w:p w14:paraId="77F29C0D">
      <w:pPr>
        <w:spacing w:line="600" w:lineRule="exact"/>
        <w:ind w:firstLine="594" w:firstLineChars="200"/>
        <w:rPr>
          <w:rFonts w:hint="default" w:ascii="Times New Roman" w:hAnsi="Times New Roman" w:eastAsia="方正仿宋_GBK" w:cs="Times New Roman"/>
          <w:snapToGrid w:val="0"/>
          <w:color w:val="auto"/>
          <w:w w:val="99"/>
          <w:sz w:val="30"/>
          <w:szCs w:val="30"/>
        </w:rPr>
      </w:pPr>
    </w:p>
    <w:p w14:paraId="7B3404F9">
      <w:pPr>
        <w:spacing w:line="580" w:lineRule="exact"/>
        <w:ind w:firstLine="640" w:firstLineChars="200"/>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一、投标文件的组成：</w:t>
      </w:r>
    </w:p>
    <w:p w14:paraId="283EBE45">
      <w:pPr>
        <w:spacing w:line="58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.报价表</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14F9456C">
      <w:pPr>
        <w:spacing w:line="58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法人身份证明、法人授权委托书；</w:t>
      </w:r>
    </w:p>
    <w:p w14:paraId="34AE75D1">
      <w:pPr>
        <w:spacing w:line="58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营业执照复印件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p>
    <w:p w14:paraId="406FEC11">
      <w:pPr>
        <w:spacing w:line="58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4.律师事务所及律师团队资格证明材料</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4DB1AE81">
      <w:pPr>
        <w:spacing w:line="58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5.事务所</w:t>
      </w:r>
      <w:r>
        <w:rPr>
          <w:rFonts w:hint="eastAsia" w:ascii="方正仿宋_GBK" w:hAnsi="方正仿宋_GBK" w:eastAsia="方正仿宋_GBK" w:cs="方正仿宋_GBK"/>
          <w:color w:val="000000" w:themeColor="text1"/>
          <w:sz w:val="32"/>
          <w:szCs w:val="32"/>
          <w14:textFill>
            <w14:solidFill>
              <w14:schemeClr w14:val="tx1"/>
            </w14:solidFill>
          </w14:textFill>
        </w:rPr>
        <w:t>简介</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6B129EB3">
      <w:pPr>
        <w:spacing w:line="580" w:lineRule="exact"/>
        <w:ind w:firstLine="643" w:firstLineChars="20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注：1.格式范本见本须知第四章；</w:t>
      </w:r>
    </w:p>
    <w:p w14:paraId="77151618">
      <w:pPr>
        <w:spacing w:line="580" w:lineRule="exact"/>
        <w:ind w:firstLine="1285" w:firstLineChars="400"/>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2.以上投标文件组成部分均需签章完备，否则，其资格性、符合性审查不合格。</w:t>
      </w:r>
    </w:p>
    <w:p w14:paraId="1B85F5D0">
      <w:p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二、投标文件制作</w:t>
      </w:r>
    </w:p>
    <w:p w14:paraId="3BC9CF3C">
      <w:pPr>
        <w:pStyle w:val="14"/>
        <w:spacing w:after="0"/>
        <w:ind w:firstLine="640" w:firstLineChars="200"/>
        <w:jc w:val="both"/>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rPr>
        <w:t>投标文件的份数</w:t>
      </w:r>
    </w:p>
    <w:p w14:paraId="5B273894">
      <w:pPr>
        <w:ind w:firstLine="640" w:firstLineChars="200"/>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投标文件</w:t>
      </w:r>
      <w:r>
        <w:rPr>
          <w:rFonts w:hint="eastAsia" w:ascii="方正仿宋_GBK" w:hAnsi="方正仿宋_GBK" w:eastAsia="方正仿宋_GBK" w:cs="方正仿宋_GBK"/>
          <w:b w:val="0"/>
          <w:bCs w:val="0"/>
          <w:color w:val="auto"/>
          <w:sz w:val="32"/>
          <w:szCs w:val="32"/>
          <w:u w:val="single"/>
        </w:rPr>
        <w:t>一式</w:t>
      </w:r>
      <w:r>
        <w:rPr>
          <w:rFonts w:hint="eastAsia" w:ascii="方正仿宋_GBK" w:hAnsi="方正仿宋_GBK" w:eastAsia="方正仿宋_GBK" w:cs="方正仿宋_GBK"/>
          <w:b w:val="0"/>
          <w:bCs w:val="0"/>
          <w:color w:val="auto"/>
          <w:sz w:val="32"/>
          <w:szCs w:val="32"/>
          <w:u w:val="single"/>
          <w:lang w:val="en-US" w:eastAsia="zh-CN"/>
        </w:rPr>
        <w:t>一</w:t>
      </w:r>
      <w:r>
        <w:rPr>
          <w:rFonts w:hint="eastAsia" w:ascii="方正仿宋_GBK" w:hAnsi="方正仿宋_GBK" w:eastAsia="方正仿宋_GBK" w:cs="方正仿宋_GBK"/>
          <w:b w:val="0"/>
          <w:bCs w:val="0"/>
          <w:color w:val="auto"/>
          <w:sz w:val="32"/>
          <w:szCs w:val="32"/>
          <w:u w:val="single"/>
        </w:rPr>
        <w:t>份</w:t>
      </w:r>
    </w:p>
    <w:p w14:paraId="1011C1F7">
      <w:pPr>
        <w:pStyle w:val="14"/>
        <w:spacing w:after="0"/>
        <w:ind w:firstLine="640" w:firstLineChars="200"/>
        <w:jc w:val="both"/>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签字盖章要求</w:t>
      </w:r>
    </w:p>
    <w:p w14:paraId="131FD0F0">
      <w:pPr>
        <w:pStyle w:val="14"/>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投标文件须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14:paraId="1C8F20D5">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装订要求</w:t>
      </w:r>
    </w:p>
    <w:p w14:paraId="5BC04580">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按第一条“投标文件的组成”要求装订成册。</w:t>
      </w:r>
    </w:p>
    <w:p w14:paraId="2B9DAF23">
      <w:pPr>
        <w:pStyle w:val="14"/>
        <w:spacing w:after="0"/>
        <w:ind w:firstLine="640" w:firstLineChars="200"/>
        <w:jc w:val="both"/>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rPr>
        <w:t>投标文件的密封</w:t>
      </w:r>
    </w:p>
    <w:p w14:paraId="224B97C4">
      <w:pPr>
        <w:ind w:firstLine="64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color w:val="auto"/>
          <w:sz w:val="32"/>
          <w:szCs w:val="32"/>
        </w:rPr>
        <w:t>投标文件应采用档案袋密封。封皮上注明“</w:t>
      </w:r>
      <w:r>
        <w:rPr>
          <w:rFonts w:hint="eastAsia" w:ascii="方正仿宋_GBK" w:hAnsi="方正仿宋_GBK" w:eastAsia="方正仿宋_GBK" w:cs="方正仿宋_GBK"/>
          <w:color w:val="auto"/>
          <w:sz w:val="32"/>
          <w:szCs w:val="32"/>
          <w:u w:val="single"/>
        </w:rPr>
        <w:t>投标项目名称、投标人名称</w:t>
      </w:r>
      <w:r>
        <w:rPr>
          <w:rFonts w:hint="eastAsia" w:ascii="方正仿宋_GBK" w:hAnsi="方正仿宋_GBK" w:eastAsia="方正仿宋_GBK" w:cs="方正仿宋_GBK"/>
          <w:color w:val="auto"/>
          <w:sz w:val="32"/>
          <w:szCs w:val="32"/>
        </w:rPr>
        <w:t>”字样，档案袋的封口应加盖公章或法人授权代表签字。未按要求密封的投标文件，招标人将拒绝接受。</w:t>
      </w:r>
    </w:p>
    <w:p w14:paraId="56E1C91D">
      <w:pPr>
        <w:jc w:val="center"/>
        <w:rPr>
          <w:rFonts w:hint="eastAsia" w:ascii="方正仿宋_GBK" w:hAnsi="方正仿宋_GBK" w:eastAsia="方正仿宋_GBK" w:cs="方正仿宋_GBK"/>
          <w:b/>
          <w:bCs/>
          <w:color w:val="auto"/>
          <w:sz w:val="30"/>
          <w:szCs w:val="30"/>
          <w:lang w:eastAsia="zh-CN"/>
        </w:rPr>
      </w:pPr>
      <w:r>
        <w:rPr>
          <w:rFonts w:hint="eastAsia" w:ascii="方正黑体_GBK" w:hAnsi="方正黑体_GBK" w:eastAsia="方正黑体_GBK" w:cs="方正黑体_GBK"/>
          <w:color w:val="auto"/>
          <w:sz w:val="36"/>
          <w:szCs w:val="36"/>
        </w:rPr>
        <w:t>第三章 谈判流程</w:t>
      </w:r>
    </w:p>
    <w:p w14:paraId="3593870F">
      <w:p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、谈判投标文件的递交</w:t>
      </w:r>
    </w:p>
    <w:p w14:paraId="5759E958">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投标文件的递交时间：详见谈判公告。</w:t>
      </w:r>
    </w:p>
    <w:p w14:paraId="741E4D66">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递交地点：</w:t>
      </w:r>
      <w:r>
        <w:rPr>
          <w:rFonts w:hint="eastAsia" w:ascii="方正仿宋_GBK" w:hAnsi="方正仿宋_GBK" w:eastAsia="方正仿宋_GBK" w:cs="方正仿宋_GBK"/>
          <w:sz w:val="32"/>
          <w:szCs w:val="32"/>
        </w:rPr>
        <w:t>九龙坡区融堃彩云里</w:t>
      </w:r>
      <w:r>
        <w:rPr>
          <w:rFonts w:hint="eastAsia" w:ascii="方正仿宋_GBK" w:hAnsi="方正仿宋_GBK" w:eastAsia="方正仿宋_GBK" w:cs="方正仿宋_GBK"/>
          <w:sz w:val="32"/>
          <w:szCs w:val="32"/>
          <w:lang w:val="en-US" w:eastAsia="zh-CN"/>
        </w:rPr>
        <w:t>15楼龙商担保公司。</w:t>
      </w:r>
    </w:p>
    <w:p w14:paraId="4D112ABA">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投标截止时间：详见谈判公告；</w:t>
      </w:r>
    </w:p>
    <w:p w14:paraId="284D9CA3">
      <w:pPr>
        <w:spacing w:line="580" w:lineRule="exact"/>
        <w:ind w:firstLine="960" w:firstLineChars="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开标时间：同投标截止时间。</w:t>
      </w:r>
    </w:p>
    <w:p w14:paraId="7ABA6242">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投标截止时间后送达的投标文件招标人不予受理；未收到邀请的投标文件招标人不予接收。</w:t>
      </w:r>
    </w:p>
    <w:p w14:paraId="2C890E39">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谈判参与人员</w:t>
      </w:r>
    </w:p>
    <w:p w14:paraId="3CB794AF">
      <w:pPr>
        <w:spacing w:line="58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（1）收到邀请书的投标人。未收到邀请的投标文件，招标人将拒绝接收。</w:t>
      </w:r>
    </w:p>
    <w:p w14:paraId="43917BEF">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各投标人应当派1-2名代表参与，至少1人应为法定代表人或具有法定代表人授权委托书的授权代表。</w:t>
      </w:r>
    </w:p>
    <w:p w14:paraId="281E36E5">
      <w:p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谈判程序及方法</w:t>
      </w:r>
    </w:p>
    <w:p w14:paraId="0A9276EE">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谈判程序</w:t>
      </w:r>
    </w:p>
    <w:p w14:paraId="29D39686">
      <w:pPr>
        <w:spacing w:line="360" w:lineRule="auto"/>
        <w:ind w:firstLine="3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投标人签到。</w:t>
      </w:r>
    </w:p>
    <w:p w14:paraId="1381B906">
      <w:pPr>
        <w:spacing w:line="360" w:lineRule="auto"/>
        <w:ind w:firstLine="3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宣布谈判纪律，公布在投标截止时间前递交投标文件的投标人名称。</w:t>
      </w:r>
    </w:p>
    <w:p w14:paraId="15068DE2">
      <w:pPr>
        <w:spacing w:line="360" w:lineRule="auto"/>
        <w:ind w:firstLine="3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检查投标文件的密封情况。</w:t>
      </w:r>
    </w:p>
    <w:p w14:paraId="0790FB26">
      <w:pPr>
        <w:spacing w:line="360" w:lineRule="auto"/>
        <w:ind w:firstLine="3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逐单位随机开启投标文件，公布投标人名称、投标报价及其他内容，记录在表格上并由投标人确认签字。因投标人原因未签字确认，视为默认开标记录。</w:t>
      </w:r>
    </w:p>
    <w:p w14:paraId="340FD84D">
      <w:pPr>
        <w:spacing w:line="360" w:lineRule="auto"/>
        <w:ind w:firstLine="3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评标小组对所有投标人投标总价进行评审。总报价高于最高限价的，不进入报价排序；总报价低于最高限价的按报价</w:t>
      </w:r>
      <w:r>
        <w:rPr>
          <w:rFonts w:hint="eastAsia" w:ascii="方正仿宋_GBK" w:hAnsi="方正仿宋_GBK" w:eastAsia="方正仿宋_GBK" w:cs="方正仿宋_GBK"/>
          <w:b/>
          <w:color w:val="auto"/>
          <w:sz w:val="32"/>
          <w:szCs w:val="32"/>
        </w:rPr>
        <w:t>由低到高</w:t>
      </w:r>
      <w:r>
        <w:rPr>
          <w:rFonts w:hint="eastAsia" w:ascii="方正仿宋_GBK" w:hAnsi="方正仿宋_GBK" w:eastAsia="方正仿宋_GBK" w:cs="方正仿宋_GBK"/>
          <w:color w:val="auto"/>
          <w:sz w:val="32"/>
          <w:szCs w:val="32"/>
        </w:rPr>
        <w:t>的顺序进行排序。</w:t>
      </w:r>
    </w:p>
    <w:p w14:paraId="3730064B">
      <w:pPr>
        <w:spacing w:line="360" w:lineRule="auto"/>
        <w:ind w:firstLine="3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评标小组按前述报价排序由低到高依次对投标人的资格条件进行资格性、符合性审查。</w:t>
      </w:r>
    </w:p>
    <w:p w14:paraId="52E530E1">
      <w:pPr>
        <w:spacing w:line="360" w:lineRule="auto"/>
        <w:ind w:firstLine="32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56824031">
      <w:pPr>
        <w:spacing w:line="58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rPr>
        <w:t>注：</w:t>
      </w:r>
      <w:r>
        <w:rPr>
          <w:rFonts w:hint="eastAsia" w:ascii="方正仿宋_GBK" w:hAnsi="方正仿宋_GBK" w:eastAsia="方正仿宋_GBK" w:cs="方正仿宋_GBK"/>
          <w:color w:val="auto"/>
          <w:sz w:val="32"/>
          <w:szCs w:val="32"/>
        </w:rPr>
        <w:t>投标人应按谈判公告规定的时间和地点参加谈判并签到，否则其投标文件不得参与谈判。</w:t>
      </w:r>
    </w:p>
    <w:p w14:paraId="2DFA377F">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谈判方法</w:t>
      </w:r>
    </w:p>
    <w:p w14:paraId="6EE00046">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（1）评标小组的组建</w:t>
      </w:r>
    </w:p>
    <w:p w14:paraId="6F218A15">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由招标人按法律法规及相关规定依法组建评标小组。</w:t>
      </w:r>
    </w:p>
    <w:p w14:paraId="0536A8E2">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（2）评标办法</w:t>
      </w:r>
    </w:p>
    <w:p w14:paraId="0945D0FA">
      <w:pPr>
        <w:spacing w:line="580" w:lineRule="exact"/>
        <w:ind w:firstLine="643" w:firstLineChars="200"/>
        <w:rPr>
          <w:rFonts w:hint="eastAsia" w:ascii="方正仿宋_GBK" w:hAnsi="方正仿宋_GBK" w:eastAsia="方正仿宋_GBK" w:cs="方正仿宋_GBK"/>
          <w:b/>
          <w:color w:val="auto"/>
          <w:sz w:val="32"/>
          <w:szCs w:val="32"/>
          <w:u w:val="single"/>
        </w:rPr>
      </w:pPr>
      <w:r>
        <w:rPr>
          <w:rFonts w:hint="eastAsia" w:ascii="方正仿宋_GBK" w:hAnsi="方正仿宋_GBK" w:eastAsia="方正仿宋_GBK" w:cs="方正仿宋_GBK"/>
          <w:b/>
          <w:color w:val="auto"/>
          <w:sz w:val="32"/>
          <w:szCs w:val="32"/>
          <w:u w:val="single"/>
        </w:rPr>
        <w:t>①本</w:t>
      </w:r>
      <w:r>
        <w:rPr>
          <w:rFonts w:hint="eastAsia" w:ascii="方正仿宋_GBK" w:hAnsi="方正仿宋_GBK" w:eastAsia="方正仿宋_GBK" w:cs="方正仿宋_GBK"/>
          <w:b/>
          <w:color w:val="auto"/>
          <w:sz w:val="32"/>
          <w:szCs w:val="32"/>
          <w:u w:val="single"/>
          <w:lang w:eastAsia="zh-CN"/>
        </w:rPr>
        <w:t>项目</w:t>
      </w:r>
      <w:r>
        <w:rPr>
          <w:rFonts w:hint="eastAsia" w:ascii="方正仿宋_GBK" w:hAnsi="方正仿宋_GBK" w:eastAsia="方正仿宋_GBK" w:cs="方正仿宋_GBK"/>
          <w:b/>
          <w:color w:val="auto"/>
          <w:sz w:val="32"/>
          <w:szCs w:val="32"/>
          <w:u w:val="single"/>
        </w:rPr>
        <w:t>采用经评审的最低价法。</w:t>
      </w:r>
    </w:p>
    <w:p w14:paraId="75E894F1">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②评标小组将资格性、符合性审查合格的投标人按报价（不高于最高限价）由低到高排序。</w:t>
      </w:r>
    </w:p>
    <w:p w14:paraId="67D37719">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③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4C5D18C4">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（3）评审标准</w:t>
      </w:r>
    </w:p>
    <w:p w14:paraId="48D2C89A">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资格性、符合性审查内容：</w:t>
      </w:r>
    </w:p>
    <w:p w14:paraId="29D5DA76">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①资格性评审：投标人资格条件、信誉条件等。</w:t>
      </w:r>
    </w:p>
    <w:p w14:paraId="48519FB4">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②符合性评审：投标文件格式、投标文件密封、盖章齐全、报价是否符合谈判文件要求等。</w:t>
      </w:r>
    </w:p>
    <w:p w14:paraId="62AD0462">
      <w:pPr>
        <w:spacing w:line="580" w:lineRule="exact"/>
        <w:ind w:firstLine="640" w:firstLineChars="200"/>
        <w:rPr>
          <w:rFonts w:hint="default" w:ascii="Times New Roman" w:hAnsi="Times New Roman" w:eastAsia="方正仿宋_GBK" w:cs="Times New Roman"/>
          <w:color w:val="auto"/>
          <w:sz w:val="30"/>
          <w:szCs w:val="30"/>
        </w:rPr>
      </w:pPr>
      <w:r>
        <w:rPr>
          <w:rFonts w:hint="eastAsia" w:ascii="方正仿宋_GBK" w:hAnsi="方正仿宋_GBK" w:eastAsia="方正仿宋_GBK" w:cs="方正仿宋_GBK"/>
          <w:color w:val="auto"/>
          <w:sz w:val="32"/>
          <w:szCs w:val="32"/>
        </w:rPr>
        <w:t>资格性、符合性审查中有任何一项不符合要求，其资格性、符合性审查不合格，不得成为中标人。</w:t>
      </w:r>
    </w:p>
    <w:p w14:paraId="436F9B61">
      <w:p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三、</w:t>
      </w:r>
      <w:r>
        <w:rPr>
          <w:rFonts w:hint="eastAsia" w:ascii="方正黑体_GBK" w:hAnsi="方正黑体_GBK" w:eastAsia="方正黑体_GBK" w:cs="方正黑体_GBK"/>
          <w:color w:val="auto"/>
          <w:sz w:val="32"/>
          <w:szCs w:val="32"/>
        </w:rPr>
        <w:t>中标人的确认</w:t>
      </w:r>
    </w:p>
    <w:p w14:paraId="14B8E34F">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评标小组本着公开、公正、公平的原则，在按照谈判文件要求的方法及标准评审后，公示中标人，公示期</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天。</w:t>
      </w:r>
    </w:p>
    <w:p w14:paraId="6691FF92">
      <w:pPr>
        <w:spacing w:line="58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若公示期间未收到异议或投诉，招标人将在公示期结束后</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日内以书面形式向中标人发出中标通知书。</w:t>
      </w:r>
    </w:p>
    <w:p w14:paraId="3B1EBF9F">
      <w:pPr>
        <w:spacing w:line="360" w:lineRule="auto"/>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合同签订</w:t>
      </w:r>
    </w:p>
    <w:p w14:paraId="0F3B2FA1">
      <w:pPr>
        <w:spacing w:line="360" w:lineRule="auto"/>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7787CCB5">
      <w:pPr>
        <w:spacing w:line="360" w:lineRule="auto"/>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履约担保及低价风险担保</w:t>
      </w:r>
    </w:p>
    <w:p w14:paraId="178A6BFF">
      <w:pPr>
        <w:spacing w:line="58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rPr>
        <w:t>中标人是否提供履约担保</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否</w:t>
      </w:r>
      <w:r>
        <w:rPr>
          <w:rFonts w:hint="default" w:ascii="Times New Roman" w:hAnsi="Times New Roman" w:eastAsia="方正仿宋_GBK" w:cs="Times New Roman"/>
          <w:color w:val="auto"/>
          <w:sz w:val="32"/>
          <w:szCs w:val="32"/>
          <w:highlight w:val="none"/>
        </w:rPr>
        <w:t>。</w:t>
      </w:r>
    </w:p>
    <w:p w14:paraId="4D97D0CE">
      <w:p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弃标处理</w:t>
      </w:r>
    </w:p>
    <w:p w14:paraId="31BB77AE">
      <w:pPr>
        <w:spacing w:line="580"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default" w:ascii="方正仿宋_GBK" w:hAnsi="方正仿宋_GBK" w:eastAsia="方正仿宋_GBK" w:cs="方正仿宋_GBK"/>
          <w:color w:val="000000" w:themeColor="text1"/>
          <w:sz w:val="32"/>
          <w:szCs w:val="32"/>
          <w14:textFill>
            <w14:solidFill>
              <w14:schemeClr w14:val="tx1"/>
            </w14:solidFill>
          </w14:textFill>
        </w:rPr>
        <w:t>在中标公示结束后三日内，中标人未按规定签订合同的，招标人将其列入九龙现代产业集团信用黑名单，禁止在集团公司承揽相关业务。</w:t>
      </w:r>
    </w:p>
    <w:p w14:paraId="5207063E">
      <w:pPr>
        <w:spacing w:line="580"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default" w:ascii="方正仿宋_GBK" w:hAnsi="方正仿宋_GBK" w:eastAsia="方正仿宋_GBK" w:cs="方正仿宋_GBK"/>
          <w:color w:val="000000" w:themeColor="text1"/>
          <w:sz w:val="32"/>
          <w:szCs w:val="32"/>
          <w14:textFill>
            <w14:solidFill>
              <w14:schemeClr w14:val="tx1"/>
            </w14:solidFill>
          </w14:textFill>
        </w:rPr>
        <w:t>中标人放弃中标，给招标人造成损失的，应当赔偿，同时招标人将其列入九龙现代产业集团信用黑名单，禁止在集团公司承揽相关业务。</w:t>
      </w:r>
    </w:p>
    <w:p w14:paraId="67F342BA">
      <w:pPr>
        <w:spacing w:line="580" w:lineRule="exact"/>
        <w:ind w:firstLine="640" w:firstLineChars="200"/>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default" w:ascii="方正仿宋_GBK" w:hAnsi="方正仿宋_GBK" w:eastAsia="方正仿宋_GBK" w:cs="方正仿宋_GBK"/>
          <w:color w:val="000000" w:themeColor="text1"/>
          <w:sz w:val="32"/>
          <w:szCs w:val="32"/>
          <w14:textFill>
            <w14:solidFill>
              <w14:schemeClr w14:val="tx1"/>
            </w14:solidFill>
          </w14:textFill>
        </w:rPr>
        <w:t>中标人放弃或者被取消中标资格时，招标人可按投标人须知第三部分第二条“谈判程序及方法”确定的原则依次序确定中标人，也可以重新组织谈判。</w:t>
      </w:r>
    </w:p>
    <w:p w14:paraId="27211BC2">
      <w:p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rPr>
        <w:t>重新招标</w:t>
      </w:r>
    </w:p>
    <w:p w14:paraId="79AE3223">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有下列情形之一的，招标人将重新招标：</w:t>
      </w:r>
    </w:p>
    <w:p w14:paraId="71C737F5">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1.投标截止时间止，投标人少于3个的；</w:t>
      </w:r>
    </w:p>
    <w:p w14:paraId="29DC8578">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2.经评标小组评审后否决所有投标的；</w:t>
      </w:r>
    </w:p>
    <w:p w14:paraId="65F1C480">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3.法律法规规定的其他需重新招标的情形。</w:t>
      </w:r>
    </w:p>
    <w:p w14:paraId="0C03CA22">
      <w:pPr>
        <w:spacing w:line="580" w:lineRule="exact"/>
        <w:ind w:firstLine="640" w:firstLineChars="200"/>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其他</w:t>
      </w:r>
    </w:p>
    <w:p w14:paraId="31877B73">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除前文要求外，投标人发生以下条款情况之一时，视为无效投标，其投标文件将被拒绝：</w:t>
      </w:r>
    </w:p>
    <w:p w14:paraId="2B26361A">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1.投标人不符合规定的资格条件的；</w:t>
      </w:r>
    </w:p>
    <w:p w14:paraId="348263CD">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2.投标人的法定代表人或其授权代表人未签到参加谈判的；</w:t>
      </w:r>
    </w:p>
    <w:p w14:paraId="7B310758">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3.法定代表人为同一个人的两个及两个以上法人，母公司、全资子公司及其控股公司参与谈判的；</w:t>
      </w:r>
    </w:p>
    <w:p w14:paraId="06C4B45E">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4.单位负责人为同一人或者存在直接控股、管理关系的不同投标人；</w:t>
      </w:r>
    </w:p>
    <w:p w14:paraId="06C66489">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5.投标人投标文件内容有与国家现行法律法规相违背的内容，或附有招标人无法接受的条件的。</w:t>
      </w:r>
    </w:p>
    <w:p w14:paraId="799DCAA1">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p>
    <w:p w14:paraId="15FBE02C">
      <w:pPr>
        <w:jc w:val="center"/>
        <w:rPr>
          <w:rFonts w:hint="default" w:ascii="Times New Roman" w:hAnsi="Times New Roman" w:eastAsia="方正仿宋_GBK" w:cs="Times New Roman"/>
          <w:color w:val="auto"/>
          <w:sz w:val="30"/>
          <w:szCs w:val="30"/>
        </w:rPr>
      </w:pPr>
      <w:r>
        <w:rPr>
          <w:rFonts w:hint="eastAsia" w:ascii="方正黑体_GBK" w:hAnsi="方正黑体_GBK" w:eastAsia="方正黑体_GBK" w:cs="方正黑体_GBK"/>
          <w:color w:val="auto"/>
          <w:sz w:val="36"/>
          <w:szCs w:val="36"/>
        </w:rPr>
        <w:t>第四章  格式范本</w:t>
      </w:r>
    </w:p>
    <w:p w14:paraId="3DF43008">
      <w:pPr>
        <w:spacing w:line="580" w:lineRule="exact"/>
        <w:ind w:firstLine="640" w:firstLineChars="200"/>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一、投标文件格式</w:t>
      </w:r>
    </w:p>
    <w:p w14:paraId="7043F8B2">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1.投标函</w:t>
      </w:r>
    </w:p>
    <w:p w14:paraId="1F4435A0">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2.法定代表人身份证明书、授权委托书；</w:t>
      </w:r>
    </w:p>
    <w:p w14:paraId="16CD9B0C">
      <w:pPr>
        <w:spacing w:line="580" w:lineRule="exact"/>
        <w:ind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营业执照复印件</w:t>
      </w:r>
    </w:p>
    <w:p w14:paraId="6C5FD308">
      <w:pPr>
        <w:spacing w:line="58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资质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材料</w:t>
      </w:r>
    </w:p>
    <w:p w14:paraId="468DF8A2">
      <w:pPr>
        <w:spacing w:line="58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5.事务所简介</w:t>
      </w:r>
    </w:p>
    <w:p w14:paraId="6A73FA58">
      <w:pPr>
        <w:pStyle w:val="14"/>
        <w:ind w:left="0" w:leftChars="0" w:firstLine="640" w:firstLineChars="200"/>
        <w:jc w:val="both"/>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b w:val="0"/>
          <w:bCs/>
          <w:color w:val="auto"/>
          <w:sz w:val="32"/>
          <w:szCs w:val="32"/>
        </w:rPr>
        <w:t>二、合同范本</w:t>
      </w:r>
    </w:p>
    <w:p w14:paraId="432D2254">
      <w:pPr>
        <w:spacing w:line="600" w:lineRule="exact"/>
        <w:ind w:firstLine="600" w:firstLineChars="200"/>
        <w:jc w:val="both"/>
        <w:rPr>
          <w:rFonts w:hint="eastAsia" w:ascii="方正黑体_GBK" w:hAnsi="方正黑体_GBK" w:eastAsia="方正黑体_GBK" w:cs="方正黑体_GBK"/>
          <w:bCs/>
          <w:snapToGrid w:val="0"/>
          <w:color w:val="auto"/>
          <w:sz w:val="30"/>
          <w:szCs w:val="30"/>
        </w:rPr>
      </w:pPr>
      <w:r>
        <w:rPr>
          <w:rFonts w:hint="eastAsia" w:ascii="方正黑体_GBK" w:hAnsi="方正黑体_GBK" w:eastAsia="方正黑体_GBK" w:cs="方正黑体_GBK"/>
          <w:color w:val="auto"/>
          <w:sz w:val="30"/>
          <w:szCs w:val="30"/>
        </w:rPr>
        <w:t>一、投标文件格式</w:t>
      </w:r>
      <w:bookmarkStart w:id="0" w:name="第02卷"/>
      <w:bookmarkEnd w:id="0"/>
      <w:bookmarkStart w:id="1" w:name="招标文件06章图纸01"/>
      <w:bookmarkEnd w:id="1"/>
      <w:bookmarkStart w:id="2" w:name="第03卷"/>
      <w:bookmarkEnd w:id="2"/>
      <w:bookmarkStart w:id="3" w:name="招标文件06章图纸"/>
      <w:bookmarkEnd w:id="3"/>
      <w:bookmarkStart w:id="4" w:name="招标文件07章技术标准和要求"/>
      <w:bookmarkEnd w:id="4"/>
    </w:p>
    <w:p w14:paraId="02A3A325">
      <w:pPr>
        <w:spacing w:line="600" w:lineRule="exact"/>
        <w:ind w:firstLine="600" w:firstLineChars="200"/>
        <w:rPr>
          <w:rFonts w:hint="eastAsia" w:ascii="方正黑体_GBK" w:hAnsi="方正黑体_GBK" w:eastAsia="方正黑体_GBK" w:cs="方正黑体_GBK"/>
          <w:b/>
          <w:color w:val="auto"/>
          <w:sz w:val="30"/>
          <w:szCs w:val="30"/>
        </w:rPr>
      </w:pPr>
      <w:r>
        <w:rPr>
          <w:rFonts w:hint="eastAsia" w:ascii="方正黑体_GBK" w:hAnsi="方正黑体_GBK" w:eastAsia="方正黑体_GBK" w:cs="方正黑体_GBK"/>
          <w:color w:val="auto"/>
          <w:sz w:val="30"/>
          <w:szCs w:val="30"/>
        </w:rPr>
        <w:t>1.投标函格式</w:t>
      </w:r>
    </w:p>
    <w:p w14:paraId="64B850A5">
      <w:pPr>
        <w:tabs>
          <w:tab w:val="left" w:pos="2640"/>
        </w:tabs>
        <w:autoSpaceDE w:val="0"/>
        <w:autoSpaceDN w:val="0"/>
        <w:adjustRightInd w:val="0"/>
        <w:spacing w:line="600" w:lineRule="exact"/>
        <w:ind w:left="120" w:right="-20"/>
        <w:jc w:val="center"/>
        <w:rPr>
          <w:rFonts w:hint="default" w:ascii="Times New Roman" w:hAnsi="Times New Roman" w:eastAsia="方正仿宋_GBK" w:cs="Times New Roman"/>
          <w:snapToGrid w:val="0"/>
          <w:color w:val="auto"/>
          <w:kern w:val="0"/>
          <w:sz w:val="30"/>
          <w:szCs w:val="30"/>
          <w:u w:val="single"/>
        </w:rPr>
      </w:pPr>
      <w:r>
        <w:rPr>
          <w:rFonts w:hint="eastAsia" w:ascii="方正仿宋_GBK" w:hAnsi="方正仿宋_GBK" w:eastAsia="方正仿宋_GBK" w:cs="方正仿宋_GBK"/>
          <w:b/>
          <w:bCs/>
          <w:snapToGrid w:val="0"/>
          <w:color w:val="auto"/>
          <w:kern w:val="0"/>
          <w:sz w:val="30"/>
          <w:szCs w:val="30"/>
          <w:lang w:val="en-US" w:eastAsia="zh-CN"/>
        </w:rPr>
        <w:t>投标</w:t>
      </w:r>
      <w:r>
        <w:rPr>
          <w:rFonts w:hint="eastAsia" w:ascii="方正仿宋_GBK" w:hAnsi="方正仿宋_GBK" w:eastAsia="方正仿宋_GBK" w:cs="方正仿宋_GBK"/>
          <w:b/>
          <w:bCs/>
          <w:snapToGrid w:val="0"/>
          <w:color w:val="auto"/>
          <w:kern w:val="0"/>
          <w:sz w:val="30"/>
          <w:szCs w:val="30"/>
        </w:rPr>
        <w:t>函</w:t>
      </w:r>
    </w:p>
    <w:p w14:paraId="1B205C49">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30"/>
          <w:szCs w:val="30"/>
        </w:rPr>
      </w:pPr>
      <w:r>
        <w:rPr>
          <w:rFonts w:ascii="Times New Roman" w:hAnsi="Times New Roman" w:eastAsia="方正仿宋_GBK" w:cs="Times New Roman"/>
          <w:snapToGrid w:val="0"/>
          <w:sz w:val="28"/>
          <w:szCs w:val="28"/>
          <w:u w:val="single"/>
        </w:rPr>
        <w:t>重庆</w:t>
      </w:r>
      <w:r>
        <w:rPr>
          <w:rFonts w:hint="eastAsia" w:ascii="Times New Roman" w:hAnsi="Times New Roman" w:eastAsia="方正仿宋_GBK" w:cs="Times New Roman"/>
          <w:snapToGrid w:val="0"/>
          <w:sz w:val="28"/>
          <w:szCs w:val="28"/>
          <w:u w:val="single"/>
          <w:lang w:val="en-US" w:eastAsia="zh-CN"/>
        </w:rPr>
        <w:t>市龙商融资担保</w:t>
      </w:r>
      <w:r>
        <w:rPr>
          <w:rFonts w:ascii="Times New Roman" w:hAnsi="Times New Roman" w:eastAsia="方正仿宋_GBK" w:cs="Times New Roman"/>
          <w:snapToGrid w:val="0"/>
          <w:sz w:val="28"/>
          <w:szCs w:val="28"/>
          <w:u w:val="single"/>
        </w:rPr>
        <w:t>有限</w:t>
      </w:r>
      <w:r>
        <w:rPr>
          <w:rFonts w:hint="eastAsia" w:ascii="Times New Roman" w:hAnsi="Times New Roman" w:eastAsia="方正仿宋_GBK" w:cs="Times New Roman"/>
          <w:snapToGrid w:val="0"/>
          <w:sz w:val="28"/>
          <w:szCs w:val="28"/>
          <w:u w:val="single"/>
          <w:lang w:val="en-US" w:eastAsia="zh-CN"/>
        </w:rPr>
        <w:t>责任</w:t>
      </w:r>
      <w:r>
        <w:rPr>
          <w:rFonts w:ascii="Times New Roman" w:hAnsi="Times New Roman" w:eastAsia="方正仿宋_GBK" w:cs="Times New Roman"/>
          <w:snapToGrid w:val="0"/>
          <w:sz w:val="28"/>
          <w:szCs w:val="28"/>
          <w:u w:val="single"/>
        </w:rPr>
        <w:t>公司</w:t>
      </w:r>
      <w:r>
        <w:rPr>
          <w:rFonts w:hint="default" w:ascii="Times New Roman" w:hAnsi="Times New Roman" w:eastAsia="方正仿宋_GBK" w:cs="Times New Roman"/>
          <w:snapToGrid w:val="0"/>
          <w:color w:val="auto"/>
          <w:kern w:val="0"/>
          <w:sz w:val="30"/>
          <w:szCs w:val="30"/>
        </w:rPr>
        <w:t>：</w:t>
      </w:r>
    </w:p>
    <w:p w14:paraId="6186751D">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highlight w:val="none"/>
        </w:rPr>
      </w:pPr>
      <w:r>
        <w:rPr>
          <w:rFonts w:hint="default" w:ascii="Times New Roman" w:hAnsi="Times New Roman" w:eastAsia="方正仿宋_GBK" w:cs="Times New Roman"/>
          <w:snapToGrid w:val="0"/>
          <w:color w:val="auto"/>
          <w:kern w:val="0"/>
          <w:sz w:val="30"/>
          <w:szCs w:val="30"/>
        </w:rPr>
        <w:t>（一）我方已仔细研究了</w:t>
      </w:r>
      <w:r>
        <w:rPr>
          <w:rFonts w:hint="default" w:ascii="Times New Roman" w:hAnsi="Times New Roman" w:eastAsia="方正仿宋_GBK" w:cs="Times New Roman"/>
          <w:b w:val="0"/>
          <w:bCs/>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lang w:eastAsia="zh-CN"/>
        </w:rPr>
        <w:t>项目</w:t>
      </w:r>
      <w:r>
        <w:rPr>
          <w:rFonts w:hint="default" w:ascii="Times New Roman" w:hAnsi="Times New Roman" w:eastAsia="方正仿宋_GBK" w:cs="Times New Roman"/>
          <w:snapToGrid w:val="0"/>
          <w:color w:val="auto"/>
          <w:kern w:val="0"/>
          <w:sz w:val="30"/>
          <w:szCs w:val="30"/>
        </w:rPr>
        <w:t>谈判文件的全部内容</w:t>
      </w:r>
      <w:r>
        <w:rPr>
          <w:rFonts w:hint="default" w:ascii="Times New Roman" w:hAnsi="Times New Roman" w:eastAsia="方正仿宋_GBK" w:cs="Times New Roman"/>
          <w:snapToGrid w:val="0"/>
          <w:color w:val="auto"/>
          <w:kern w:val="0"/>
          <w:sz w:val="30"/>
          <w:szCs w:val="30"/>
          <w:highlight w:val="none"/>
        </w:rPr>
        <w:t>，愿意</w:t>
      </w:r>
      <w:r>
        <w:rPr>
          <w:rFonts w:hint="eastAsia" w:ascii="Times New Roman" w:hAnsi="Times New Roman" w:eastAsia="方正仿宋_GBK" w:cs="Times New Roman"/>
          <w:snapToGrid w:val="0"/>
          <w:color w:val="auto"/>
          <w:kern w:val="0"/>
          <w:sz w:val="30"/>
          <w:szCs w:val="30"/>
          <w:highlight w:val="none"/>
          <w:lang w:val="en-US" w:eastAsia="zh-CN"/>
        </w:rPr>
        <w:t>以</w:t>
      </w:r>
      <w:r>
        <w:rPr>
          <w:rFonts w:hint="default" w:ascii="Times New Roman" w:hAnsi="Times New Roman" w:eastAsia="方正仿宋_GBK" w:cs="Times New Roman"/>
          <w:b w:val="0"/>
          <w:bCs/>
          <w:snapToGrid w:val="0"/>
          <w:color w:val="auto"/>
          <w:kern w:val="0"/>
          <w:sz w:val="30"/>
          <w:szCs w:val="30"/>
          <w:highlight w:val="none"/>
          <w:u w:val="single"/>
        </w:rPr>
        <w:t xml:space="preserve">         </w:t>
      </w:r>
      <w:r>
        <w:rPr>
          <w:rFonts w:hint="eastAsia" w:ascii="Times New Roman" w:hAnsi="Times New Roman" w:eastAsia="方正仿宋_GBK" w:cs="Times New Roman"/>
          <w:b w:val="0"/>
          <w:bCs/>
          <w:snapToGrid w:val="0"/>
          <w:color w:val="auto"/>
          <w:kern w:val="0"/>
          <w:sz w:val="30"/>
          <w:szCs w:val="30"/>
          <w:highlight w:val="none"/>
          <w:u w:val="single"/>
          <w:lang w:val="en-US" w:eastAsia="zh-CN"/>
        </w:rPr>
        <w:t>万元</w:t>
      </w:r>
      <w:r>
        <w:rPr>
          <w:rFonts w:hint="default" w:ascii="Times New Roman" w:hAnsi="Times New Roman" w:eastAsia="方正仿宋_GBK" w:cs="Times New Roman"/>
          <w:snapToGrid w:val="0"/>
          <w:color w:val="auto"/>
          <w:kern w:val="0"/>
          <w:sz w:val="30"/>
          <w:szCs w:val="30"/>
          <w:highlight w:val="none"/>
        </w:rPr>
        <w:t>（大写：            ）</w:t>
      </w:r>
      <w:r>
        <w:rPr>
          <w:rFonts w:hint="eastAsia" w:ascii="Times New Roman" w:hAnsi="Times New Roman" w:eastAsia="方正仿宋_GBK" w:cs="Times New Roman"/>
          <w:snapToGrid w:val="0"/>
          <w:color w:val="auto"/>
          <w:kern w:val="0"/>
          <w:sz w:val="30"/>
          <w:szCs w:val="30"/>
          <w:highlight w:val="none"/>
          <w:lang w:val="en-US" w:eastAsia="zh-CN"/>
        </w:rPr>
        <w:t>的基础律师服务费</w:t>
      </w:r>
      <w:r>
        <w:rPr>
          <w:rFonts w:hint="default" w:ascii="Times New Roman" w:hAnsi="Times New Roman" w:eastAsia="方正仿宋_GBK" w:cs="Times New Roman"/>
          <w:snapToGrid w:val="0"/>
          <w:color w:val="auto"/>
          <w:kern w:val="0"/>
          <w:sz w:val="30"/>
          <w:szCs w:val="30"/>
          <w:highlight w:val="none"/>
        </w:rPr>
        <w:t>作为</w:t>
      </w:r>
      <w:r>
        <w:rPr>
          <w:rFonts w:hint="eastAsia" w:ascii="Times New Roman" w:hAnsi="Times New Roman" w:eastAsia="方正仿宋_GBK" w:cs="Times New Roman"/>
          <w:snapToGrid w:val="0"/>
          <w:color w:val="auto"/>
          <w:kern w:val="0"/>
          <w:sz w:val="30"/>
          <w:szCs w:val="30"/>
          <w:highlight w:val="none"/>
          <w:lang w:val="en-US" w:eastAsia="zh-CN"/>
        </w:rPr>
        <w:t>见贷即保业务专项法律服务</w:t>
      </w:r>
      <w:r>
        <w:rPr>
          <w:rFonts w:hint="default" w:ascii="Times New Roman" w:hAnsi="Times New Roman" w:eastAsia="方正仿宋_GBK" w:cs="Times New Roman"/>
          <w:snapToGrid w:val="0"/>
          <w:color w:val="auto"/>
          <w:kern w:val="0"/>
          <w:sz w:val="30"/>
          <w:szCs w:val="30"/>
          <w:highlight w:val="none"/>
        </w:rPr>
        <w:t>报价。</w:t>
      </w:r>
    </w:p>
    <w:p w14:paraId="54CC1FF4">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（二）我方承诺在询价有效期内不修改、撤销报价文件。</w:t>
      </w:r>
    </w:p>
    <w:p w14:paraId="462135A4">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（三）如双方成交：</w:t>
      </w:r>
    </w:p>
    <w:p w14:paraId="71DD09F7">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（1）我方承诺在收到成交确认书后，在确认书规定的期限内与你方签订合同。</w:t>
      </w:r>
    </w:p>
    <w:p w14:paraId="326A787C">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（2）随同本报价函递交的报价函附录属于合同文件的组成部分。</w:t>
      </w:r>
    </w:p>
    <w:p w14:paraId="50C5054E">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（3）我方承诺在合同约定的期限内完成并移交全部合同</w:t>
      </w:r>
      <w:r>
        <w:rPr>
          <w:rFonts w:hint="default" w:ascii="Times New Roman" w:hAnsi="Times New Roman" w:eastAsia="方正仿宋_GBK" w:cs="Times New Roman"/>
          <w:snapToGrid w:val="0"/>
          <w:color w:val="auto"/>
          <w:kern w:val="0"/>
          <w:sz w:val="30"/>
          <w:szCs w:val="30"/>
          <w:lang w:eastAsia="zh-CN"/>
        </w:rPr>
        <w:t>项目</w:t>
      </w:r>
      <w:r>
        <w:rPr>
          <w:rFonts w:hint="default" w:ascii="Times New Roman" w:hAnsi="Times New Roman" w:eastAsia="方正仿宋_GBK" w:cs="Times New Roman"/>
          <w:snapToGrid w:val="0"/>
          <w:color w:val="auto"/>
          <w:kern w:val="0"/>
          <w:sz w:val="30"/>
          <w:szCs w:val="30"/>
        </w:rPr>
        <w:t>。</w:t>
      </w:r>
    </w:p>
    <w:p w14:paraId="52D91148">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（四）我方在此声明，所递交的报价文件及有关资料内容完整、真实和准确。</w:t>
      </w:r>
    </w:p>
    <w:p w14:paraId="54A5F416">
      <w:pPr>
        <w:tabs>
          <w:tab w:val="left" w:pos="4940"/>
        </w:tabs>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（五）</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u w:val="single"/>
        </w:rPr>
        <w:tab/>
      </w:r>
      <w:r>
        <w:rPr>
          <w:rFonts w:hint="default" w:ascii="Times New Roman" w:hAnsi="Times New Roman" w:eastAsia="方正仿宋_GBK" w:cs="Times New Roman"/>
          <w:snapToGrid w:val="0"/>
          <w:color w:val="auto"/>
          <w:kern w:val="0"/>
          <w:sz w:val="30"/>
          <w:szCs w:val="30"/>
        </w:rPr>
        <w:t>（其他补充说明）。</w:t>
      </w:r>
    </w:p>
    <w:p w14:paraId="56ADA009">
      <w:pPr>
        <w:pStyle w:val="14"/>
        <w:ind w:firstLine="210"/>
        <w:rPr>
          <w:rFonts w:hint="default" w:ascii="Times New Roman" w:hAnsi="Times New Roman" w:eastAsia="方正仿宋_GBK" w:cs="Times New Roman"/>
          <w:color w:val="auto"/>
          <w:sz w:val="30"/>
          <w:szCs w:val="30"/>
        </w:rPr>
      </w:pPr>
    </w:p>
    <w:p w14:paraId="2196FE0C">
      <w:pPr>
        <w:tabs>
          <w:tab w:val="left" w:pos="7140"/>
          <w:tab w:val="left" w:pos="7560"/>
          <w:tab w:val="left" w:pos="8300"/>
        </w:tabs>
        <w:autoSpaceDE w:val="0"/>
        <w:autoSpaceDN w:val="0"/>
        <w:adjustRightInd w:val="0"/>
        <w:spacing w:line="600" w:lineRule="exact"/>
        <w:ind w:right="770"/>
        <w:jc w:val="righ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报价人：</w:t>
      </w: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（盖单位章）</w:t>
      </w:r>
    </w:p>
    <w:p w14:paraId="57621A6D">
      <w:pPr>
        <w:tabs>
          <w:tab w:val="left" w:pos="6000"/>
          <w:tab w:val="left" w:pos="7040"/>
          <w:tab w:val="left" w:pos="8100"/>
        </w:tabs>
        <w:autoSpaceDE w:val="0"/>
        <w:autoSpaceDN w:val="0"/>
        <w:adjustRightInd w:val="0"/>
        <w:spacing w:line="600" w:lineRule="exact"/>
        <w:ind w:right="-23" w:firstLine="4200" w:firstLineChars="1400"/>
        <w:jc w:val="righ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年</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rPr>
        <w:t>月</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rPr>
        <w:t>日</w:t>
      </w:r>
      <w:bookmarkStart w:id="5" w:name="_Toc16220"/>
      <w:bookmarkStart w:id="6" w:name="_Toc287607869"/>
      <w:bookmarkStart w:id="7" w:name="_Toc277082645"/>
      <w:bookmarkStart w:id="8" w:name="_Toc224103497"/>
      <w:bookmarkStart w:id="9" w:name="_Toc224103501"/>
      <w:bookmarkStart w:id="10" w:name="_Toc354501721"/>
      <w:bookmarkStart w:id="11" w:name="_Toc287607873"/>
      <w:bookmarkStart w:id="12" w:name="_Toc277082648"/>
    </w:p>
    <w:p w14:paraId="6A31C80D">
      <w:pPr>
        <w:pStyle w:val="14"/>
        <w:ind w:firstLine="0" w:firstLineChars="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snapToGrid w:val="0"/>
          <w:color w:val="auto"/>
          <w:kern w:val="0"/>
          <w:sz w:val="30"/>
          <w:szCs w:val="30"/>
        </w:rPr>
        <w:t>注：报价金额大小写须一致；若不一致，以有利于招标人的金额为准。</w:t>
      </w:r>
    </w:p>
    <w:p w14:paraId="31BD04C4">
      <w:pPr>
        <w:spacing w:line="600" w:lineRule="exact"/>
        <w:jc w:val="left"/>
        <w:rPr>
          <w:rFonts w:hint="eastAsia" w:ascii="方正黑体_GBK" w:hAnsi="方正黑体_GBK" w:eastAsia="方正黑体_GBK" w:cs="方正黑体_GBK"/>
          <w:color w:val="auto"/>
          <w:sz w:val="30"/>
          <w:szCs w:val="30"/>
        </w:rPr>
      </w:pPr>
    </w:p>
    <w:p w14:paraId="4F085BFF">
      <w:pPr>
        <w:spacing w:line="600" w:lineRule="exact"/>
        <w:jc w:val="left"/>
        <w:rPr>
          <w:rFonts w:hint="eastAsia" w:ascii="方正黑体_GBK" w:hAnsi="方正黑体_GBK" w:eastAsia="方正黑体_GBK" w:cs="方正黑体_GBK"/>
          <w:color w:val="auto"/>
          <w:sz w:val="30"/>
          <w:szCs w:val="30"/>
        </w:rPr>
      </w:pPr>
    </w:p>
    <w:p w14:paraId="43049123">
      <w:pPr>
        <w:pStyle w:val="2"/>
        <w:rPr>
          <w:rFonts w:hint="eastAsia"/>
        </w:rPr>
      </w:pPr>
      <w:bookmarkStart w:id="15" w:name="_GoBack"/>
      <w:bookmarkEnd w:id="15"/>
    </w:p>
    <w:p w14:paraId="32503191">
      <w:pPr>
        <w:spacing w:line="600" w:lineRule="exact"/>
        <w:jc w:val="left"/>
        <w:rPr>
          <w:rFonts w:hint="default"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2.法定代表人身份证明及授权委托书</w:t>
      </w:r>
      <w:bookmarkEnd w:id="5"/>
      <w:bookmarkEnd w:id="6"/>
      <w:bookmarkEnd w:id="7"/>
      <w:bookmarkEnd w:id="8"/>
      <w:r>
        <w:rPr>
          <w:rFonts w:hint="eastAsia" w:ascii="方正黑体_GBK" w:hAnsi="方正黑体_GBK" w:eastAsia="方正黑体_GBK" w:cs="方正黑体_GBK"/>
          <w:color w:val="auto"/>
          <w:sz w:val="32"/>
          <w:szCs w:val="32"/>
        </w:rPr>
        <w:t>格式</w:t>
      </w:r>
    </w:p>
    <w:p w14:paraId="26EB4B92">
      <w:pPr>
        <w:spacing w:line="600" w:lineRule="exact"/>
        <w:jc w:val="center"/>
        <w:rPr>
          <w:rFonts w:hint="default" w:ascii="Times New Roman" w:hAnsi="Times New Roman" w:eastAsia="方正仿宋_GBK" w:cs="Times New Roman"/>
          <w:b/>
          <w:color w:val="auto"/>
          <w:sz w:val="30"/>
          <w:szCs w:val="30"/>
        </w:rPr>
      </w:pPr>
    </w:p>
    <w:p w14:paraId="7E9E499D">
      <w:pPr>
        <w:spacing w:line="60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法定代表人身份证明</w:t>
      </w:r>
    </w:p>
    <w:p w14:paraId="138F358E">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p>
    <w:p w14:paraId="39C47045">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投标人名称：</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p>
    <w:p w14:paraId="4C4FD47A">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单位性质：</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p>
    <w:p w14:paraId="25FE243D">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地址：</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p>
    <w:p w14:paraId="67F7F27D">
      <w:pPr>
        <w:tabs>
          <w:tab w:val="left" w:pos="2520"/>
          <w:tab w:val="left" w:pos="3836"/>
        </w:tabs>
        <w:autoSpaceDE w:val="0"/>
        <w:autoSpaceDN w:val="0"/>
        <w:adjustRightInd w:val="0"/>
        <w:snapToGrid w:val="0"/>
        <w:spacing w:line="60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成立时间：</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pacing w:val="-1"/>
          <w:kern w:val="0"/>
          <w:sz w:val="32"/>
          <w:szCs w:val="32"/>
        </w:rPr>
        <w:t>年</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u w:val="single"/>
        </w:rPr>
        <w:t xml:space="preserve"> </w:t>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pacing w:val="-1"/>
          <w:kern w:val="0"/>
          <w:sz w:val="32"/>
          <w:szCs w:val="32"/>
        </w:rPr>
        <w:t>月</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 xml:space="preserve">         </w:t>
      </w:r>
      <w:r>
        <w:rPr>
          <w:rFonts w:hint="default" w:ascii="Times New Roman" w:hAnsi="Times New Roman" w:eastAsia="方正仿宋_GBK" w:cs="Times New Roman"/>
          <w:color w:val="auto"/>
          <w:kern w:val="0"/>
          <w:sz w:val="32"/>
          <w:szCs w:val="32"/>
        </w:rPr>
        <w:t>日</w:t>
      </w:r>
    </w:p>
    <w:p w14:paraId="6791B275">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经营期限：</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p>
    <w:p w14:paraId="05629731">
      <w:pPr>
        <w:tabs>
          <w:tab w:val="left" w:pos="1580"/>
          <w:tab w:val="left" w:pos="3260"/>
          <w:tab w:val="left" w:pos="4840"/>
          <w:tab w:val="left" w:pos="6300"/>
        </w:tabs>
        <w:autoSpaceDE w:val="0"/>
        <w:autoSpaceDN w:val="0"/>
        <w:adjustRightInd w:val="0"/>
        <w:snapToGrid w:val="0"/>
        <w:spacing w:line="60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姓名：</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 xml:space="preserve"> 性别</w:t>
      </w:r>
      <w:r>
        <w:rPr>
          <w:rFonts w:hint="default" w:ascii="Times New Roman" w:hAnsi="Times New Roman" w:eastAsia="方正仿宋_GBK" w:cs="Times New Roman"/>
          <w:color w:val="auto"/>
          <w:spacing w:val="-1"/>
          <w:kern w:val="0"/>
          <w:sz w:val="32"/>
          <w:szCs w:val="32"/>
        </w:rPr>
        <w:t>：</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 xml:space="preserve"> </w:t>
      </w:r>
      <w:r>
        <w:rPr>
          <w:rFonts w:hint="default" w:ascii="Times New Roman" w:hAnsi="Times New Roman" w:eastAsia="方正仿宋_GBK" w:cs="Times New Roman"/>
          <w:color w:val="auto"/>
          <w:spacing w:val="-1"/>
          <w:kern w:val="0"/>
          <w:sz w:val="32"/>
          <w:szCs w:val="32"/>
        </w:rPr>
        <w:t>年</w:t>
      </w:r>
      <w:r>
        <w:rPr>
          <w:rFonts w:hint="default" w:ascii="Times New Roman" w:hAnsi="Times New Roman" w:eastAsia="方正仿宋_GBK" w:cs="Times New Roman"/>
          <w:color w:val="auto"/>
          <w:kern w:val="0"/>
          <w:sz w:val="32"/>
          <w:szCs w:val="32"/>
        </w:rPr>
        <w:t>龄：</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职务：</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系</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 xml:space="preserve"> （投标人名称）的法定代表人。</w:t>
      </w:r>
    </w:p>
    <w:p w14:paraId="58131DDD">
      <w:pPr>
        <w:autoSpaceDE w:val="0"/>
        <w:autoSpaceDN w:val="0"/>
        <w:adjustRightInd w:val="0"/>
        <w:snapToGrid w:val="0"/>
        <w:spacing w:line="600"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特此证明。</w:t>
      </w:r>
    </w:p>
    <w:p w14:paraId="20B5059C">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2"/>
          <w:szCs w:val="32"/>
        </w:rPr>
      </w:pPr>
    </w:p>
    <w:p w14:paraId="2E1FCB52">
      <w:pPr>
        <w:tabs>
          <w:tab w:val="left" w:pos="5460"/>
        </w:tabs>
        <w:autoSpaceDE w:val="0"/>
        <w:autoSpaceDN w:val="0"/>
        <w:adjustRightInd w:val="0"/>
        <w:snapToGrid w:val="0"/>
        <w:spacing w:line="600" w:lineRule="exact"/>
        <w:ind w:firstLine="3840" w:firstLineChars="1200"/>
        <w:jc w:val="righ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投标</w:t>
      </w:r>
      <w:r>
        <w:rPr>
          <w:rFonts w:hint="default" w:ascii="Times New Roman" w:hAnsi="Times New Roman" w:eastAsia="方正仿宋_GBK" w:cs="Times New Roman"/>
          <w:color w:val="auto"/>
          <w:spacing w:val="-1"/>
          <w:kern w:val="0"/>
          <w:sz w:val="32"/>
          <w:szCs w:val="32"/>
        </w:rPr>
        <w:t>人</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u w:val="single"/>
        </w:rPr>
        <w:t xml:space="preserve">    </w:t>
      </w:r>
      <w:r>
        <w:rPr>
          <w:rFonts w:hint="default" w:ascii="Times New Roman" w:hAnsi="Times New Roman" w:eastAsia="方正仿宋_GBK" w:cs="Times New Roman"/>
          <w:color w:val="auto"/>
          <w:spacing w:val="-1"/>
          <w:kern w:val="0"/>
          <w:sz w:val="32"/>
          <w:szCs w:val="32"/>
        </w:rPr>
        <w:t>（</w:t>
      </w:r>
      <w:r>
        <w:rPr>
          <w:rFonts w:hint="default" w:ascii="Times New Roman" w:hAnsi="Times New Roman" w:eastAsia="方正仿宋_GBK" w:cs="Times New Roman"/>
          <w:color w:val="auto"/>
          <w:kern w:val="0"/>
          <w:sz w:val="32"/>
          <w:szCs w:val="32"/>
        </w:rPr>
        <w:t>盖单位章）</w:t>
      </w:r>
    </w:p>
    <w:p w14:paraId="2C3B2F70">
      <w:pPr>
        <w:tabs>
          <w:tab w:val="left" w:pos="3455"/>
          <w:tab w:val="left" w:pos="5460"/>
          <w:tab w:val="left" w:pos="6400"/>
        </w:tabs>
        <w:autoSpaceDE w:val="0"/>
        <w:autoSpaceDN w:val="0"/>
        <w:adjustRightInd w:val="0"/>
        <w:snapToGrid w:val="0"/>
        <w:spacing w:line="600" w:lineRule="exact"/>
        <w:ind w:firstLine="3840" w:firstLineChars="6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spacing w:val="-1"/>
          <w:kern w:val="0"/>
          <w:sz w:val="32"/>
          <w:szCs w:val="32"/>
        </w:rPr>
        <w:t>年</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rPr>
        <w:t>月</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rPr>
        <w:t>日</w:t>
      </w:r>
    </w:p>
    <w:p w14:paraId="67ACEC46">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u w:val="single"/>
        </w:rPr>
      </w:pPr>
      <w:bookmarkStart w:id="13" w:name="OLE_LINK23"/>
      <w:bookmarkStart w:id="14" w:name="OLE_LINK22"/>
    </w:p>
    <w:p w14:paraId="45CDB889">
      <w:pPr>
        <w:autoSpaceDE w:val="0"/>
        <w:autoSpaceDN w:val="0"/>
        <w:adjustRightInd w:val="0"/>
        <w:snapToGrid w:val="0"/>
        <w:spacing w:line="600" w:lineRule="exact"/>
        <w:jc w:val="left"/>
        <w:rPr>
          <w:rFonts w:hint="default" w:ascii="Times New Roman" w:hAnsi="Times New Roman" w:eastAsia="方正仿宋_GBK" w:cs="Times New Roman"/>
          <w:b/>
          <w:color w:val="auto"/>
          <w:kern w:val="0"/>
          <w:sz w:val="30"/>
          <w:szCs w:val="30"/>
        </w:rPr>
      </w:pPr>
      <w:r>
        <w:rPr>
          <w:rFonts w:hint="default" w:ascii="Times New Roman" w:hAnsi="Times New Roman" w:eastAsia="方正仿宋_GBK" w:cs="Times New Roman"/>
          <w:color w:val="auto"/>
          <w:kern w:val="0"/>
          <w:sz w:val="32"/>
          <w:szCs w:val="32"/>
          <w:u w:val="single"/>
        </w:rPr>
        <w:t>注：法定代表人的签字必须是亲笔签名，不得使用印章、签名章或其他电子制版签名。法定代表人身份证明需按上述格式填写完整，不可缺少内容。在些基础上增加内容的不影响其有效性。</w:t>
      </w:r>
      <w:bookmarkEnd w:id="13"/>
      <w:bookmarkEnd w:id="14"/>
    </w:p>
    <w:p w14:paraId="2BDBFB98">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273F4AB9">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2DBD8EA2">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44259F78">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55418949">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7FBD0226">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50AA01C4">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3650DED4">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4F3D3524">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0C282028">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43300824">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b/>
          <w:color w:val="auto"/>
          <w:kern w:val="0"/>
          <w:sz w:val="32"/>
          <w:szCs w:val="32"/>
        </w:rPr>
      </w:pPr>
    </w:p>
    <w:p w14:paraId="1B608E5D">
      <w:pPr>
        <w:tabs>
          <w:tab w:val="left" w:pos="1680"/>
          <w:tab w:val="left" w:pos="4215"/>
          <w:tab w:val="left" w:pos="4305"/>
          <w:tab w:val="left" w:pos="8000"/>
        </w:tabs>
        <w:autoSpaceDE w:val="0"/>
        <w:autoSpaceDN w:val="0"/>
        <w:adjustRightInd w:val="0"/>
        <w:snapToGrid w:val="0"/>
        <w:spacing w:line="600" w:lineRule="exact"/>
        <w:jc w:val="both"/>
        <w:rPr>
          <w:rFonts w:hint="default" w:ascii="Times New Roman" w:hAnsi="Times New Roman" w:eastAsia="方正仿宋_GBK" w:cs="Times New Roman"/>
          <w:b/>
          <w:color w:val="auto"/>
          <w:kern w:val="0"/>
          <w:sz w:val="32"/>
          <w:szCs w:val="32"/>
        </w:rPr>
      </w:pPr>
    </w:p>
    <w:p w14:paraId="7011508C">
      <w:pPr>
        <w:tabs>
          <w:tab w:val="left" w:pos="1680"/>
          <w:tab w:val="left" w:pos="4215"/>
          <w:tab w:val="left" w:pos="4305"/>
          <w:tab w:val="left" w:pos="8000"/>
        </w:tabs>
        <w:autoSpaceDE w:val="0"/>
        <w:autoSpaceDN w:val="0"/>
        <w:adjustRightInd w:val="0"/>
        <w:snapToGrid w:val="0"/>
        <w:spacing w:line="600" w:lineRule="exact"/>
        <w:ind w:firstLine="3534" w:firstLineChars="110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color w:val="auto"/>
          <w:kern w:val="0"/>
          <w:sz w:val="32"/>
          <w:szCs w:val="32"/>
        </w:rPr>
        <w:t>授权委托书</w:t>
      </w:r>
    </w:p>
    <w:p w14:paraId="2009C060">
      <w:pPr>
        <w:tabs>
          <w:tab w:val="left" w:pos="1680"/>
          <w:tab w:val="left" w:pos="4215"/>
          <w:tab w:val="left" w:pos="4305"/>
          <w:tab w:val="left" w:pos="8000"/>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本人</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（姓名）系</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eastAsia" w:ascii="Times New Roman" w:hAnsi="Times New Roman" w:eastAsia="方正仿宋_GBK" w:cs="Times New Roman"/>
          <w:color w:val="auto"/>
          <w:kern w:val="0"/>
          <w:sz w:val="32"/>
          <w:szCs w:val="32"/>
          <w:u w:val="single"/>
          <w:lang w:val="en-US" w:eastAsia="zh-CN"/>
        </w:rPr>
        <w:t xml:space="preserve">             </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pacing w:val="-1"/>
          <w:kern w:val="0"/>
          <w:sz w:val="32"/>
          <w:szCs w:val="32"/>
        </w:rPr>
        <w:t>投</w:t>
      </w:r>
      <w:r>
        <w:rPr>
          <w:rFonts w:hint="default" w:ascii="Times New Roman" w:hAnsi="Times New Roman" w:eastAsia="方正仿宋_GBK" w:cs="Times New Roman"/>
          <w:color w:val="auto"/>
          <w:kern w:val="0"/>
          <w:sz w:val="32"/>
          <w:szCs w:val="32"/>
        </w:rPr>
        <w:t>标人名称</w:t>
      </w:r>
      <w:r>
        <w:rPr>
          <w:rFonts w:hint="default" w:ascii="Times New Roman" w:hAnsi="Times New Roman" w:eastAsia="方正仿宋_GBK" w:cs="Times New Roman"/>
          <w:color w:val="auto"/>
          <w:spacing w:val="1"/>
          <w:kern w:val="0"/>
          <w:sz w:val="32"/>
          <w:szCs w:val="32"/>
        </w:rPr>
        <w:t>）</w:t>
      </w:r>
      <w:r>
        <w:rPr>
          <w:rFonts w:hint="default" w:ascii="Times New Roman" w:hAnsi="Times New Roman" w:eastAsia="方正仿宋_GBK" w:cs="Times New Roman"/>
          <w:color w:val="auto"/>
          <w:kern w:val="0"/>
          <w:sz w:val="32"/>
          <w:szCs w:val="32"/>
        </w:rPr>
        <w:t>的法定代</w:t>
      </w:r>
      <w:r>
        <w:rPr>
          <w:rFonts w:hint="default" w:ascii="Times New Roman" w:hAnsi="Times New Roman" w:eastAsia="方正仿宋_GBK" w:cs="Times New Roman"/>
          <w:color w:val="auto"/>
          <w:spacing w:val="1"/>
          <w:kern w:val="0"/>
          <w:sz w:val="32"/>
          <w:szCs w:val="32"/>
        </w:rPr>
        <w:t>表</w:t>
      </w:r>
      <w:r>
        <w:rPr>
          <w:rFonts w:hint="default" w:ascii="Times New Roman" w:hAnsi="Times New Roman" w:eastAsia="方正仿宋_GBK" w:cs="Times New Roman"/>
          <w:color w:val="auto"/>
          <w:kern w:val="0"/>
          <w:sz w:val="32"/>
          <w:szCs w:val="32"/>
        </w:rPr>
        <w:t>人，现委托</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（姓 名）为我方代理人。代理人根据授权，以我方名义签署、澄清、说明、补正、递交、撤回、 修改</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（项</w:t>
      </w:r>
      <w:r>
        <w:rPr>
          <w:rFonts w:hint="default" w:ascii="Times New Roman" w:hAnsi="Times New Roman" w:eastAsia="方正仿宋_GBK" w:cs="Times New Roman"/>
          <w:color w:val="auto"/>
          <w:spacing w:val="-1"/>
          <w:kern w:val="0"/>
          <w:sz w:val="32"/>
          <w:szCs w:val="32"/>
        </w:rPr>
        <w:t>目</w:t>
      </w:r>
      <w:r>
        <w:rPr>
          <w:rFonts w:hint="default" w:ascii="Times New Roman" w:hAnsi="Times New Roman" w:eastAsia="方正仿宋_GBK" w:cs="Times New Roman"/>
          <w:color w:val="auto"/>
          <w:kern w:val="0"/>
          <w:sz w:val="32"/>
          <w:szCs w:val="32"/>
        </w:rPr>
        <w:t>名称）投标文件、签订合同和处理有关事宜，其法律后果由我方承担。</w:t>
      </w:r>
    </w:p>
    <w:p w14:paraId="2332150B">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委托</w:t>
      </w:r>
      <w:r>
        <w:rPr>
          <w:rFonts w:hint="default" w:ascii="Times New Roman" w:hAnsi="Times New Roman" w:eastAsia="方正仿宋_GBK" w:cs="Times New Roman"/>
          <w:color w:val="auto"/>
          <w:spacing w:val="-1"/>
          <w:kern w:val="0"/>
          <w:sz w:val="32"/>
          <w:szCs w:val="32"/>
        </w:rPr>
        <w:t>期</w:t>
      </w:r>
      <w:r>
        <w:rPr>
          <w:rFonts w:hint="default" w:ascii="Times New Roman" w:hAnsi="Times New Roman" w:eastAsia="方正仿宋_GBK" w:cs="Times New Roman"/>
          <w:color w:val="auto"/>
          <w:kern w:val="0"/>
          <w:sz w:val="32"/>
          <w:szCs w:val="32"/>
        </w:rPr>
        <w:t>限：</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u w:val="single"/>
        </w:rPr>
        <w:tab/>
      </w:r>
      <w:r>
        <w:rPr>
          <w:rFonts w:hint="default" w:ascii="Times New Roman" w:hAnsi="Times New Roman" w:eastAsia="方正仿宋_GBK" w:cs="Times New Roman"/>
          <w:color w:val="auto"/>
          <w:kern w:val="0"/>
          <w:sz w:val="32"/>
          <w:szCs w:val="32"/>
        </w:rPr>
        <w:t xml:space="preserve">。 </w:t>
      </w:r>
    </w:p>
    <w:p w14:paraId="5F509FF4">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代理人无转委托权。</w:t>
      </w:r>
    </w:p>
    <w:p w14:paraId="75E24267">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附：法定代表人身份证明。</w:t>
      </w:r>
    </w:p>
    <w:p w14:paraId="1052E0EF">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32"/>
          <w:szCs w:val="32"/>
        </w:rPr>
      </w:pPr>
    </w:p>
    <w:p w14:paraId="12268C1D">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投  标  人：</w:t>
      </w:r>
      <w:r>
        <w:rPr>
          <w:rFonts w:hint="default" w:ascii="Times New Roman" w:hAnsi="Times New Roman" w:eastAsia="方正仿宋_GBK" w:cs="Times New Roman"/>
          <w:color w:val="auto"/>
          <w:w w:val="200"/>
          <w:kern w:val="0"/>
          <w:sz w:val="32"/>
          <w:szCs w:val="32"/>
          <w:u w:val="single"/>
        </w:rPr>
        <w:t xml:space="preserve">    </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pacing w:val="-1"/>
          <w:kern w:val="0"/>
          <w:sz w:val="32"/>
          <w:szCs w:val="32"/>
        </w:rPr>
        <w:t>盖</w:t>
      </w:r>
      <w:r>
        <w:rPr>
          <w:rFonts w:hint="default" w:ascii="Times New Roman" w:hAnsi="Times New Roman" w:eastAsia="方正仿宋_GBK" w:cs="Times New Roman"/>
          <w:color w:val="auto"/>
          <w:kern w:val="0"/>
          <w:sz w:val="32"/>
          <w:szCs w:val="32"/>
        </w:rPr>
        <w:t xml:space="preserve">单位章） </w:t>
      </w:r>
    </w:p>
    <w:p w14:paraId="6ED270FF">
      <w:pPr>
        <w:tabs>
          <w:tab w:val="left" w:pos="5645"/>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法定代表人：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（签字）</w:t>
      </w:r>
    </w:p>
    <w:p w14:paraId="7800C032">
      <w:pPr>
        <w:tabs>
          <w:tab w:val="left" w:pos="526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r>
        <w:rPr>
          <w:rFonts w:hint="default" w:ascii="Times New Roman" w:hAnsi="Times New Roman" w:eastAsia="方正仿宋_GBK" w:cs="Times New Roman"/>
          <w:color w:val="auto"/>
          <w:w w:val="200"/>
          <w:kern w:val="0"/>
          <w:sz w:val="30"/>
          <w:szCs w:val="30"/>
          <w:u w:val="single"/>
        </w:rPr>
        <w:t xml:space="preserve">       </w:t>
      </w:r>
    </w:p>
    <w:p w14:paraId="63F923CC">
      <w:pPr>
        <w:tabs>
          <w:tab w:val="left" w:pos="672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委托代理人：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（签</w:t>
      </w:r>
      <w:r>
        <w:rPr>
          <w:rFonts w:hint="default" w:ascii="Times New Roman" w:hAnsi="Times New Roman" w:eastAsia="方正仿宋_GBK" w:cs="Times New Roman"/>
          <w:color w:val="auto"/>
          <w:spacing w:val="-1"/>
          <w:kern w:val="0"/>
          <w:sz w:val="30"/>
          <w:szCs w:val="30"/>
        </w:rPr>
        <w:t>字</w:t>
      </w:r>
      <w:r>
        <w:rPr>
          <w:rFonts w:hint="default" w:ascii="Times New Roman" w:hAnsi="Times New Roman" w:eastAsia="方正仿宋_GBK" w:cs="Times New Roman"/>
          <w:color w:val="auto"/>
          <w:kern w:val="0"/>
          <w:sz w:val="30"/>
          <w:szCs w:val="30"/>
        </w:rPr>
        <w:t>）</w:t>
      </w:r>
    </w:p>
    <w:p w14:paraId="7AEA4D3B">
      <w:pPr>
        <w:tabs>
          <w:tab w:val="left" w:pos="526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r>
        <w:rPr>
          <w:rFonts w:hint="default" w:ascii="Times New Roman" w:hAnsi="Times New Roman" w:eastAsia="方正仿宋_GBK" w:cs="Times New Roman"/>
          <w:color w:val="auto"/>
          <w:w w:val="200"/>
          <w:kern w:val="0"/>
          <w:sz w:val="30"/>
          <w:szCs w:val="30"/>
          <w:u w:val="single"/>
        </w:rPr>
        <w:t xml:space="preserve">       </w:t>
      </w:r>
    </w:p>
    <w:p w14:paraId="18843E46">
      <w:pPr>
        <w:tabs>
          <w:tab w:val="left" w:pos="3455"/>
          <w:tab w:val="left" w:pos="5460"/>
          <w:tab w:val="left" w:pos="6400"/>
        </w:tabs>
        <w:autoSpaceDE w:val="0"/>
        <w:autoSpaceDN w:val="0"/>
        <w:adjustRightInd w:val="0"/>
        <w:snapToGrid w:val="0"/>
        <w:spacing w:line="600" w:lineRule="exact"/>
        <w:ind w:firstLine="3600" w:firstLineChars="6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日</w:t>
      </w:r>
    </w:p>
    <w:p w14:paraId="317B2BA7">
      <w:pPr>
        <w:tabs>
          <w:tab w:val="left" w:pos="5760"/>
        </w:tabs>
        <w:autoSpaceDE w:val="0"/>
        <w:autoSpaceDN w:val="0"/>
        <w:adjustRightInd w:val="0"/>
        <w:spacing w:line="600" w:lineRule="exact"/>
        <w:ind w:right="11"/>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注：1.法定代表人参加投标活动并签署文件的不需要授权委托书，只需提供法定代表人身份证明；非法定代表人参加投标活动及签署文件的除提供法定代表人身份证明外还须提供授权委托书。</w:t>
      </w:r>
    </w:p>
    <w:p w14:paraId="20F258B8">
      <w:pPr>
        <w:tabs>
          <w:tab w:val="left" w:pos="5760"/>
        </w:tabs>
        <w:autoSpaceDE w:val="0"/>
        <w:autoSpaceDN w:val="0"/>
        <w:adjustRightInd w:val="0"/>
        <w:spacing w:line="600" w:lineRule="exact"/>
        <w:ind w:right="11"/>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2.法定代表人身份证明及</w:t>
      </w:r>
      <w:r>
        <w:rPr>
          <w:rFonts w:hint="eastAsia" w:ascii="方正仿宋_GBK" w:hAnsi="方正仿宋_GBK" w:eastAsia="方正仿宋_GBK" w:cs="方正仿宋_GBK"/>
          <w:color w:val="auto"/>
          <w:kern w:val="0"/>
          <w:sz w:val="30"/>
          <w:szCs w:val="30"/>
          <w:lang w:eastAsia="zh-CN"/>
        </w:rPr>
        <w:t>授权委托</w:t>
      </w:r>
      <w:r>
        <w:rPr>
          <w:rFonts w:hint="eastAsia" w:ascii="方正仿宋_GBK" w:hAnsi="方正仿宋_GBK" w:eastAsia="方正仿宋_GBK" w:cs="方正仿宋_GBK"/>
          <w:color w:val="auto"/>
          <w:kern w:val="0"/>
          <w:sz w:val="30"/>
          <w:szCs w:val="30"/>
        </w:rPr>
        <w:t>书原件装入投标文件一并递交。</w:t>
      </w:r>
    </w:p>
    <w:bookmarkEnd w:id="9"/>
    <w:bookmarkEnd w:id="10"/>
    <w:bookmarkEnd w:id="11"/>
    <w:bookmarkEnd w:id="12"/>
    <w:p w14:paraId="1931D375">
      <w:pPr>
        <w:pStyle w:val="14"/>
        <w:ind w:left="0" w:leftChars="0" w:firstLine="0" w:firstLineChars="0"/>
        <w:jc w:val="both"/>
        <w:rPr>
          <w:rFonts w:hint="eastAsia" w:ascii="方正仿宋_GBK" w:hAnsi="方正仿宋_GBK" w:eastAsia="方正仿宋_GBK" w:cs="方正仿宋_GBK"/>
          <w:b w:val="0"/>
          <w:bCs/>
          <w:color w:val="auto"/>
          <w:sz w:val="30"/>
          <w:szCs w:val="30"/>
        </w:rPr>
      </w:pPr>
      <w:r>
        <w:rPr>
          <w:rFonts w:hint="eastAsia" w:ascii="方正仿宋_GBK" w:hAnsi="方正仿宋_GBK" w:eastAsia="方正仿宋_GBK" w:cs="方正仿宋_GBK"/>
          <w:b w:val="0"/>
          <w:bCs/>
          <w:color w:val="auto"/>
          <w:sz w:val="30"/>
          <w:szCs w:val="30"/>
        </w:rPr>
        <w:t>3.公司资质</w:t>
      </w:r>
    </w:p>
    <w:p w14:paraId="4C2DD429">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br w:type="page"/>
      </w:r>
    </w:p>
    <w:p w14:paraId="4211886D">
      <w:pPr>
        <w:numPr>
          <w:ilvl w:val="0"/>
          <w:numId w:val="1"/>
        </w:numPr>
        <w:spacing w:before="156" w:beforeLines="50"/>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合同范本</w:t>
      </w:r>
    </w:p>
    <w:p w14:paraId="0EDF4654">
      <w:pPr>
        <w:pStyle w:val="14"/>
        <w:rPr>
          <w:rFonts w:hint="default" w:ascii="Times New Roman" w:hAnsi="Times New Roman" w:eastAsia="方正仿宋_GBK" w:cs="Times New Roman"/>
          <w:color w:val="auto"/>
          <w:sz w:val="30"/>
          <w:szCs w:val="30"/>
          <w:lang w:eastAsia="zh-CN"/>
        </w:rPr>
      </w:pPr>
    </w:p>
    <w:p w14:paraId="208D86FC">
      <w:pPr>
        <w:pStyle w:val="14"/>
        <w:rPr>
          <w:rFonts w:hint="default" w:ascii="Times New Roman" w:hAnsi="Times New Roman" w:eastAsia="方正仿宋_GBK" w:cs="Times New Roman"/>
          <w:color w:val="auto"/>
          <w:sz w:val="30"/>
          <w:szCs w:val="30"/>
          <w:lang w:eastAsia="zh-CN"/>
        </w:rPr>
      </w:pPr>
    </w:p>
    <w:p w14:paraId="3C2E3962">
      <w:pPr>
        <w:pStyle w:val="14"/>
        <w:rPr>
          <w:rFonts w:hint="default" w:ascii="Times New Roman" w:hAnsi="Times New Roman" w:eastAsia="方正仿宋_GBK" w:cs="Times New Roman"/>
          <w:color w:val="auto"/>
          <w:sz w:val="30"/>
          <w:szCs w:val="30"/>
          <w:lang w:eastAsia="zh-CN"/>
        </w:rPr>
      </w:pPr>
    </w:p>
    <w:p w14:paraId="54058025">
      <w:pPr>
        <w:pStyle w:val="14"/>
        <w:ind w:left="0" w:leftChars="0" w:firstLine="0" w:firstLineChars="0"/>
        <w:rPr>
          <w:rFonts w:hint="default" w:ascii="Times New Roman" w:hAnsi="Times New Roman" w:eastAsia="方正仿宋_GBK" w:cs="Times New Roman"/>
          <w:color w:val="auto"/>
          <w:sz w:val="30"/>
          <w:szCs w:val="30"/>
          <w:lang w:eastAsia="zh-CN"/>
        </w:rPr>
      </w:pPr>
    </w:p>
    <w:p w14:paraId="42AE5313">
      <w:pPr>
        <w:pStyle w:val="14"/>
        <w:numPr>
          <w:ilvl w:val="0"/>
          <w:numId w:val="0"/>
        </w:numPr>
        <w:rPr>
          <w:rFonts w:hint="default" w:ascii="Times New Roman" w:hAnsi="Times New Roman" w:eastAsia="方正仿宋_GBK" w:cs="Times New Roman"/>
          <w:color w:val="auto"/>
          <w:sz w:val="30"/>
          <w:szCs w:val="30"/>
          <w:highlight w:val="none"/>
          <w:lang w:eastAsia="zh-CN"/>
        </w:rPr>
      </w:pPr>
    </w:p>
    <w:p w14:paraId="0358CD79">
      <w:pPr>
        <w:spacing w:line="276" w:lineRule="auto"/>
        <w:jc w:val="center"/>
        <w:rPr>
          <w:rFonts w:hint="eastAsia" w:ascii="楷体" w:hAnsi="楷体" w:eastAsia="楷体" w:cs="楷体"/>
          <w:b/>
          <w:sz w:val="36"/>
          <w:highlight w:val="none"/>
        </w:rPr>
      </w:pPr>
      <w:r>
        <w:rPr>
          <w:rFonts w:hint="eastAsia" w:ascii="楷体" w:hAnsi="楷体" w:eastAsia="楷体" w:cs="楷体"/>
          <w:b/>
          <w:sz w:val="36"/>
          <w:highlight w:val="none"/>
        </w:rPr>
        <w:t>【</w:t>
      </w:r>
      <w:r>
        <w:rPr>
          <w:rFonts w:hint="eastAsia" w:ascii="楷体" w:hAnsi="楷体" w:eastAsia="楷体" w:cs="楷体"/>
          <w:b/>
          <w:sz w:val="36"/>
          <w:szCs w:val="36"/>
          <w:highlight w:val="none"/>
          <w:lang w:val="en-US" w:eastAsia="zh-CN"/>
        </w:rPr>
        <w:t>重庆市龙商融资担保有限责任公司</w:t>
      </w:r>
      <w:r>
        <w:rPr>
          <w:rFonts w:hint="eastAsia" w:ascii="楷体" w:hAnsi="楷体" w:eastAsia="楷体" w:cs="楷体"/>
          <w:b/>
          <w:sz w:val="36"/>
          <w:highlight w:val="none"/>
        </w:rPr>
        <w:t>】</w:t>
      </w:r>
    </w:p>
    <w:p w14:paraId="653B06CC">
      <w:pPr>
        <w:spacing w:line="276" w:lineRule="auto"/>
        <w:jc w:val="center"/>
        <w:rPr>
          <w:rFonts w:hint="eastAsia" w:ascii="楷体" w:hAnsi="楷体" w:eastAsia="楷体" w:cs="楷体"/>
          <w:b/>
          <w:sz w:val="24"/>
          <w:highlight w:val="none"/>
        </w:rPr>
      </w:pPr>
      <w:r>
        <w:rPr>
          <w:rFonts w:hint="eastAsia" w:ascii="楷体" w:hAnsi="楷体" w:eastAsia="楷体" w:cs="楷体"/>
          <w:b/>
          <w:sz w:val="28"/>
          <w:szCs w:val="21"/>
          <w:highlight w:val="none"/>
        </w:rPr>
        <w:t>（委托方）</w:t>
      </w:r>
    </w:p>
    <w:p w14:paraId="76047830">
      <w:pPr>
        <w:spacing w:line="276" w:lineRule="auto"/>
        <w:jc w:val="center"/>
        <w:rPr>
          <w:rFonts w:hint="eastAsia" w:ascii="楷体" w:hAnsi="楷体" w:eastAsia="楷体" w:cs="楷体"/>
          <w:b/>
          <w:sz w:val="32"/>
        </w:rPr>
      </w:pPr>
    </w:p>
    <w:p w14:paraId="12EAA17B">
      <w:pPr>
        <w:spacing w:line="276" w:lineRule="auto"/>
        <w:jc w:val="center"/>
        <w:rPr>
          <w:rFonts w:hint="eastAsia" w:ascii="楷体" w:hAnsi="楷体" w:eastAsia="楷体" w:cs="楷体"/>
          <w:b/>
          <w:sz w:val="36"/>
        </w:rPr>
      </w:pPr>
      <w:r>
        <w:rPr>
          <w:rFonts w:hint="eastAsia" w:ascii="楷体" w:hAnsi="楷体" w:eastAsia="楷体" w:cs="楷体"/>
          <w:b/>
          <w:sz w:val="36"/>
        </w:rPr>
        <w:t>与</w:t>
      </w:r>
    </w:p>
    <w:p w14:paraId="60CBA103">
      <w:pPr>
        <w:spacing w:line="276" w:lineRule="auto"/>
        <w:jc w:val="center"/>
        <w:rPr>
          <w:rFonts w:hint="eastAsia" w:ascii="楷体" w:hAnsi="楷体" w:eastAsia="楷体" w:cs="楷体"/>
          <w:b/>
          <w:sz w:val="28"/>
        </w:rPr>
      </w:pPr>
    </w:p>
    <w:p w14:paraId="4B206C99">
      <w:pPr>
        <w:spacing w:line="276" w:lineRule="auto"/>
        <w:jc w:val="center"/>
        <w:rPr>
          <w:rFonts w:hint="eastAsia" w:ascii="楷体" w:hAnsi="楷体" w:eastAsia="楷体" w:cs="楷体"/>
          <w:b/>
          <w:sz w:val="28"/>
          <w:szCs w:val="21"/>
        </w:rPr>
      </w:pPr>
      <w:r>
        <w:rPr>
          <w:rFonts w:hint="eastAsia" w:ascii="楷体" w:hAnsi="楷体" w:eastAsia="楷体" w:cs="楷体"/>
          <w:b/>
          <w:sz w:val="28"/>
          <w:szCs w:val="21"/>
        </w:rPr>
        <w:t>（受托方）</w:t>
      </w:r>
    </w:p>
    <w:p w14:paraId="1976A118">
      <w:pPr>
        <w:spacing w:line="276" w:lineRule="auto"/>
        <w:jc w:val="center"/>
        <w:rPr>
          <w:rFonts w:hint="eastAsia" w:ascii="楷体" w:hAnsi="楷体" w:eastAsia="楷体" w:cs="楷体"/>
          <w:b/>
          <w:sz w:val="28"/>
        </w:rPr>
      </w:pPr>
    </w:p>
    <w:p w14:paraId="242CF1F3">
      <w:pPr>
        <w:spacing w:line="276" w:lineRule="auto"/>
        <w:jc w:val="center"/>
        <w:rPr>
          <w:rFonts w:hint="eastAsia" w:ascii="楷体" w:hAnsi="楷体" w:eastAsia="楷体" w:cs="楷体"/>
          <w:b/>
          <w:sz w:val="36"/>
        </w:rPr>
      </w:pPr>
      <w:r>
        <w:rPr>
          <w:rFonts w:hint="eastAsia" w:ascii="楷体" w:hAnsi="楷体" w:eastAsia="楷体" w:cs="楷体"/>
          <w:b/>
          <w:sz w:val="36"/>
        </w:rPr>
        <w:t>之</w:t>
      </w:r>
    </w:p>
    <w:p w14:paraId="009CDC8C">
      <w:pPr>
        <w:spacing w:line="276" w:lineRule="auto"/>
        <w:jc w:val="center"/>
        <w:rPr>
          <w:rFonts w:hint="eastAsia" w:ascii="汉仪全唐诗简" w:hAnsi="汉仪全唐诗简" w:eastAsia="汉仪全唐诗简" w:cs="汉仪全唐诗简"/>
          <w:b/>
          <w:sz w:val="52"/>
        </w:rPr>
      </w:pPr>
      <w:r>
        <w:rPr>
          <w:rFonts w:hint="eastAsia" w:ascii="楷体" w:hAnsi="楷体" w:eastAsia="楷体" w:cs="楷体"/>
          <w:b/>
          <w:sz w:val="52"/>
          <w:lang w:val="en-US" w:eastAsia="zh-CN"/>
        </w:rPr>
        <w:t>见贷即保业务专项法律服务</w:t>
      </w:r>
      <w:r>
        <w:rPr>
          <w:rFonts w:hint="eastAsia" w:ascii="楷体" w:hAnsi="楷体" w:eastAsia="楷体" w:cs="楷体"/>
          <w:b/>
          <w:sz w:val="52"/>
        </w:rPr>
        <w:t>合同</w:t>
      </w:r>
    </w:p>
    <w:p w14:paraId="4C3D8DA1">
      <w:pPr>
        <w:spacing w:line="276" w:lineRule="auto"/>
        <w:jc w:val="center"/>
        <w:rPr>
          <w:rFonts w:hint="eastAsia" w:ascii="楷体" w:hAnsi="楷体" w:eastAsia="楷体" w:cs="楷体"/>
          <w:b/>
          <w:sz w:val="24"/>
        </w:rPr>
      </w:pPr>
    </w:p>
    <w:p w14:paraId="35DA9E3D">
      <w:pPr>
        <w:spacing w:line="276" w:lineRule="auto"/>
        <w:jc w:val="center"/>
        <w:rPr>
          <w:rFonts w:hint="eastAsia" w:ascii="楷体" w:hAnsi="楷体" w:eastAsia="楷体" w:cs="楷体"/>
          <w:b/>
          <w:sz w:val="24"/>
        </w:rPr>
      </w:pPr>
    </w:p>
    <w:p w14:paraId="4FE5EC66">
      <w:pPr>
        <w:spacing w:line="276" w:lineRule="auto"/>
        <w:jc w:val="center"/>
        <w:rPr>
          <w:rFonts w:hint="eastAsia" w:ascii="楷体" w:hAnsi="楷体" w:eastAsia="楷体" w:cs="楷体"/>
          <w:b/>
          <w:sz w:val="24"/>
        </w:rPr>
      </w:pPr>
    </w:p>
    <w:p w14:paraId="66F63DCC">
      <w:pPr>
        <w:spacing w:line="360" w:lineRule="auto"/>
        <w:jc w:val="center"/>
        <w:rPr>
          <w:rFonts w:hint="eastAsia" w:ascii="楷体" w:hAnsi="楷体" w:eastAsia="楷体" w:cs="楷体"/>
          <w:b/>
          <w:sz w:val="24"/>
          <w:lang w:eastAsia="zh-TW"/>
        </w:rPr>
      </w:pPr>
    </w:p>
    <w:p w14:paraId="2EFA73CD">
      <w:pPr>
        <w:spacing w:line="360" w:lineRule="auto"/>
        <w:jc w:val="center"/>
        <w:rPr>
          <w:rFonts w:hint="eastAsia" w:ascii="汉仪全唐诗简" w:hAnsi="汉仪全唐诗简" w:eastAsia="汉仪全唐诗简" w:cs="汉仪全唐诗简"/>
          <w:b/>
          <w:sz w:val="28"/>
          <w:szCs w:val="21"/>
          <w:lang w:eastAsia="zh-TW"/>
        </w:rPr>
      </w:pPr>
      <w:r>
        <w:rPr>
          <w:rFonts w:hint="eastAsia" w:ascii="楷体" w:hAnsi="楷体" w:eastAsia="楷体" w:cs="楷体"/>
          <w:b/>
          <w:sz w:val="28"/>
          <w:szCs w:val="21"/>
          <w:lang w:eastAsia="zh-TW"/>
        </w:rPr>
        <w:t>二</w:t>
      </w:r>
      <w:r>
        <w:rPr>
          <w:rFonts w:hint="eastAsia" w:ascii="楷体" w:hAnsi="楷体" w:eastAsia="楷体" w:cs="楷体"/>
          <w:b/>
          <w:sz w:val="28"/>
          <w:szCs w:val="21"/>
        </w:rPr>
        <w:t>〇</w:t>
      </w:r>
      <w:r>
        <w:rPr>
          <w:rFonts w:hint="eastAsia" w:ascii="楷体" w:hAnsi="楷体" w:eastAsia="楷体" w:cs="楷体"/>
          <w:b/>
          <w:sz w:val="28"/>
          <w:szCs w:val="21"/>
          <w:lang w:eastAsia="zh-TW"/>
        </w:rPr>
        <w:t>二</w:t>
      </w:r>
      <w:r>
        <w:rPr>
          <w:rFonts w:hint="eastAsia" w:ascii="楷体" w:hAnsi="楷体" w:eastAsia="楷体" w:cs="楷体"/>
          <w:b/>
          <w:sz w:val="28"/>
          <w:szCs w:val="21"/>
        </w:rPr>
        <w:t>五</w:t>
      </w:r>
      <w:r>
        <w:rPr>
          <w:rFonts w:hint="eastAsia" w:ascii="楷体" w:hAnsi="楷体" w:eastAsia="楷体" w:cs="楷体"/>
          <w:b/>
          <w:sz w:val="28"/>
          <w:szCs w:val="21"/>
          <w:lang w:eastAsia="zh-TW"/>
        </w:rPr>
        <w:t>年</w:t>
      </w:r>
      <w:r>
        <w:rPr>
          <w:rFonts w:hint="eastAsia" w:ascii="楷体" w:hAnsi="楷体" w:eastAsia="楷体" w:cs="楷体"/>
          <w:b/>
          <w:sz w:val="28"/>
          <w:szCs w:val="21"/>
        </w:rPr>
        <w:t>【  】</w:t>
      </w:r>
      <w:r>
        <w:rPr>
          <w:rFonts w:hint="eastAsia" w:ascii="楷体" w:hAnsi="楷体" w:eastAsia="楷体" w:cs="楷体"/>
          <w:b/>
          <w:sz w:val="28"/>
          <w:szCs w:val="21"/>
          <w:lang w:eastAsia="zh-TW"/>
        </w:rPr>
        <w:t>月</w:t>
      </w:r>
    </w:p>
    <w:p w14:paraId="1C4FAD8C">
      <w:pPr>
        <w:snapToGrid w:val="0"/>
        <w:spacing w:line="540" w:lineRule="exac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bCs/>
          <w:color w:val="auto"/>
          <w:kern w:val="28"/>
          <w:sz w:val="30"/>
          <w:szCs w:val="30"/>
        </w:rPr>
        <w:br w:type="page"/>
      </w:r>
    </w:p>
    <w:p w14:paraId="78F3CD95">
      <w:pPr>
        <w:ind w:firstLine="2240" w:firstLineChars="7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见贷即保业务专项法律服务</w:t>
      </w:r>
      <w:r>
        <w:rPr>
          <w:rFonts w:hint="eastAsia" w:ascii="方正仿宋_GBK" w:hAnsi="方正仿宋_GBK" w:eastAsia="方正仿宋_GBK" w:cs="方正仿宋_GBK"/>
          <w:color w:val="auto"/>
          <w:sz w:val="32"/>
          <w:szCs w:val="32"/>
          <w:highlight w:val="none"/>
        </w:rPr>
        <w:t>合同</w:t>
      </w:r>
    </w:p>
    <w:p w14:paraId="145D9DE4">
      <w:pPr>
        <w:ind w:firstLine="5760" w:firstLineChars="18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合同编号：</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号</w:t>
      </w:r>
    </w:p>
    <w:p w14:paraId="03F1AD10">
      <w:pPr>
        <w:rPr>
          <w:rFonts w:hint="eastAsia" w:ascii="方正仿宋_GBK" w:hAnsi="方正仿宋_GBK" w:eastAsia="方正仿宋_GBK" w:cs="方正仿宋_GBK"/>
          <w:color w:val="auto"/>
          <w:sz w:val="32"/>
          <w:szCs w:val="32"/>
          <w:highlight w:val="none"/>
        </w:rPr>
      </w:pPr>
    </w:p>
    <w:p w14:paraId="656B7E81">
      <w:pP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甲  方：重庆</w:t>
      </w:r>
      <w:r>
        <w:rPr>
          <w:rFonts w:hint="eastAsia" w:ascii="方正仿宋_GBK" w:hAnsi="方正仿宋_GBK" w:eastAsia="方正仿宋_GBK" w:cs="方正仿宋_GBK"/>
          <w:color w:val="auto"/>
          <w:sz w:val="32"/>
          <w:szCs w:val="32"/>
          <w:highlight w:val="none"/>
          <w:lang w:val="en-US" w:eastAsia="zh-CN"/>
        </w:rPr>
        <w:t>市龙商融资担保</w:t>
      </w:r>
      <w:r>
        <w:rPr>
          <w:rFonts w:hint="eastAsia" w:ascii="方正仿宋_GBK" w:hAnsi="方正仿宋_GBK" w:eastAsia="方正仿宋_GBK" w:cs="方正仿宋_GBK"/>
          <w:color w:val="auto"/>
          <w:sz w:val="32"/>
          <w:szCs w:val="32"/>
          <w:highlight w:val="none"/>
        </w:rPr>
        <w:t>有限</w:t>
      </w:r>
      <w:r>
        <w:rPr>
          <w:rFonts w:hint="eastAsia" w:ascii="方正仿宋_GBK" w:hAnsi="方正仿宋_GBK" w:eastAsia="方正仿宋_GBK" w:cs="方正仿宋_GBK"/>
          <w:color w:val="auto"/>
          <w:sz w:val="32"/>
          <w:szCs w:val="32"/>
          <w:highlight w:val="none"/>
          <w:lang w:val="en-US" w:eastAsia="zh-CN"/>
        </w:rPr>
        <w:t>责任</w:t>
      </w:r>
      <w:r>
        <w:rPr>
          <w:rFonts w:hint="eastAsia" w:ascii="方正仿宋_GBK" w:hAnsi="方正仿宋_GBK" w:eastAsia="方正仿宋_GBK" w:cs="方正仿宋_GBK"/>
          <w:color w:val="auto"/>
          <w:sz w:val="32"/>
          <w:szCs w:val="32"/>
          <w:highlight w:val="none"/>
        </w:rPr>
        <w:t>公司（以下简称“甲方”）</w:t>
      </w:r>
    </w:p>
    <w:p w14:paraId="614DA2EC">
      <w:pP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地  址：重庆市九龙坡区</w:t>
      </w:r>
      <w:r>
        <w:rPr>
          <w:rFonts w:hint="eastAsia" w:ascii="方正仿宋_GBK" w:hAnsi="方正仿宋_GBK" w:eastAsia="方正仿宋_GBK" w:cs="方正仿宋_GBK"/>
          <w:color w:val="auto"/>
          <w:sz w:val="32"/>
          <w:szCs w:val="32"/>
          <w:highlight w:val="none"/>
          <w:lang w:val="en-US" w:eastAsia="zh-CN"/>
        </w:rPr>
        <w:t>二郎融堃彩云里15楼</w:t>
      </w:r>
    </w:p>
    <w:p w14:paraId="71EB8241">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rPr>
        <w:t>统一社会信用代码：91500107</w:t>
      </w:r>
      <w:r>
        <w:rPr>
          <w:rFonts w:hint="eastAsia" w:ascii="方正仿宋_GBK" w:hAnsi="方正仿宋_GBK" w:eastAsia="方正仿宋_GBK" w:cs="方正仿宋_GBK"/>
          <w:color w:val="auto"/>
          <w:sz w:val="32"/>
          <w:szCs w:val="32"/>
          <w:highlight w:val="none"/>
          <w:lang w:val="en-US" w:eastAsia="zh-CN"/>
        </w:rPr>
        <w:t>798034778Y</w:t>
      </w:r>
      <w:r>
        <w:rPr>
          <w:rFonts w:hint="eastAsia" w:ascii="方正仿宋_GBK" w:hAnsi="方正仿宋_GBK" w:eastAsia="方正仿宋_GBK" w:cs="方正仿宋_GBK"/>
          <w:color w:val="auto"/>
          <w:sz w:val="32"/>
          <w:szCs w:val="32"/>
        </w:rPr>
        <w:t xml:space="preserve">      </w:t>
      </w:r>
    </w:p>
    <w:p w14:paraId="370E0688">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乙  方：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（以下简称“乙方”）</w:t>
      </w:r>
    </w:p>
    <w:p w14:paraId="38D8F621">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地  址：</w:t>
      </w:r>
    </w:p>
    <w:p w14:paraId="34EBC482">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收款账户：                                  </w:t>
      </w:r>
    </w:p>
    <w:p w14:paraId="3579BF3F">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开户行：</w:t>
      </w:r>
    </w:p>
    <w:p w14:paraId="18ED7597">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户名：</w:t>
      </w:r>
    </w:p>
    <w:p w14:paraId="6D382333">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账  号：</w:t>
      </w:r>
    </w:p>
    <w:p w14:paraId="0D52E524">
      <w:pPr>
        <w:rPr>
          <w:rFonts w:hint="eastAsia" w:ascii="方正仿宋_GBK" w:hAnsi="方正仿宋_GBK" w:eastAsia="方正仿宋_GBK" w:cs="方正仿宋_GBK"/>
          <w:color w:val="auto"/>
          <w:sz w:val="32"/>
          <w:szCs w:val="32"/>
        </w:rPr>
      </w:pPr>
    </w:p>
    <w:p w14:paraId="5CD4FA1F">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甲方为依法经营、预防法律风险，聘请乙方担任法律顾问。现双方秉承平等自愿原则，就顾问相关服务内容、收费等友好协商如下：</w:t>
      </w:r>
    </w:p>
    <w:p w14:paraId="3578E8A3">
      <w:pPr>
        <w:rPr>
          <w:rFonts w:hint="eastAsia" w:ascii="方正仿宋_GBK" w:hAnsi="方正仿宋_GBK" w:eastAsia="方正仿宋_GBK" w:cs="方正仿宋_GBK"/>
          <w:color w:val="auto"/>
          <w:sz w:val="32"/>
          <w:szCs w:val="32"/>
        </w:rPr>
      </w:pPr>
    </w:p>
    <w:p w14:paraId="77B25A0E">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一、委托事项及乙方律师</w:t>
      </w:r>
    </w:p>
    <w:p w14:paraId="175C518B">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乙方接受</w:t>
      </w:r>
      <w:r>
        <w:rPr>
          <w:rFonts w:hint="eastAsia" w:ascii="方正仿宋_GBK" w:hAnsi="方正仿宋_GBK" w:eastAsia="方正仿宋_GBK" w:cs="方正仿宋_GBK"/>
          <w:color w:val="auto"/>
          <w:sz w:val="32"/>
          <w:szCs w:val="32"/>
          <w:highlight w:val="none"/>
          <w:lang w:val="en-US" w:eastAsia="zh-CN"/>
        </w:rPr>
        <w:t>甲方</w:t>
      </w:r>
      <w:r>
        <w:rPr>
          <w:rFonts w:hint="eastAsia" w:ascii="方正仿宋_GBK" w:hAnsi="方正仿宋_GBK" w:eastAsia="方正仿宋_GBK" w:cs="方正仿宋_GBK"/>
          <w:color w:val="auto"/>
          <w:sz w:val="32"/>
          <w:szCs w:val="32"/>
          <w:highlight w:val="none"/>
        </w:rPr>
        <w:t>聘请，指派</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rPr>
        <w:t>等律师担任甲方的法律顾问，负责提供</w:t>
      </w:r>
      <w:r>
        <w:rPr>
          <w:rFonts w:hint="eastAsia" w:ascii="方正仿宋_GBK" w:hAnsi="方正仿宋_GBK" w:eastAsia="方正仿宋_GBK" w:cs="方正仿宋_GBK"/>
          <w:color w:val="auto"/>
          <w:sz w:val="32"/>
          <w:szCs w:val="32"/>
          <w:highlight w:val="none"/>
          <w:lang w:val="en-US" w:eastAsia="zh-CN"/>
        </w:rPr>
        <w:t>甲方见贷即保业务的专项</w:t>
      </w:r>
      <w:r>
        <w:rPr>
          <w:rFonts w:hint="eastAsia" w:ascii="方正仿宋_GBK" w:hAnsi="方正仿宋_GBK" w:eastAsia="方正仿宋_GBK" w:cs="方正仿宋_GBK"/>
          <w:color w:val="auto"/>
          <w:sz w:val="32"/>
          <w:szCs w:val="32"/>
          <w:highlight w:val="none"/>
        </w:rPr>
        <w:t>法律事务</w:t>
      </w:r>
      <w:r>
        <w:rPr>
          <w:rFonts w:hint="eastAsia" w:ascii="方正仿宋_GBK" w:hAnsi="方正仿宋_GBK" w:eastAsia="方正仿宋_GBK" w:cs="方正仿宋_GBK"/>
          <w:color w:val="auto"/>
          <w:sz w:val="32"/>
          <w:szCs w:val="32"/>
          <w:highlight w:val="none"/>
          <w:lang w:val="en-US" w:eastAsia="zh-CN"/>
        </w:rPr>
        <w:t>服务</w:t>
      </w:r>
      <w:r>
        <w:rPr>
          <w:rFonts w:hint="eastAsia" w:ascii="方正仿宋_GBK" w:hAnsi="方正仿宋_GBK" w:eastAsia="方正仿宋_GBK" w:cs="方正仿宋_GBK"/>
          <w:color w:val="auto"/>
          <w:sz w:val="32"/>
          <w:szCs w:val="32"/>
          <w:highlight w:val="none"/>
        </w:rPr>
        <w:t xml:space="preserve">。乙方有权基于正当理由，或根据专业服务需求，另行指派其他律师参与服务。  </w:t>
      </w:r>
    </w:p>
    <w:p w14:paraId="1CCA9D00">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rPr>
        <w:t>甲方指派</w:t>
      </w:r>
      <w:r>
        <w:rPr>
          <w:rFonts w:hint="eastAsia" w:ascii="方正仿宋_GBK" w:hAnsi="方正仿宋_GBK" w:eastAsia="方正仿宋_GBK" w:cs="方正仿宋_GBK"/>
          <w:color w:val="auto"/>
          <w:sz w:val="32"/>
          <w:szCs w:val="32"/>
          <w:highlight w:val="none"/>
          <w:u w:val="single"/>
        </w:rPr>
        <w:t xml:space="preserve">       </w:t>
      </w:r>
      <w:r>
        <w:rPr>
          <w:rFonts w:hint="eastAsia" w:ascii="方正仿宋_GBK" w:hAnsi="方正仿宋_GBK" w:eastAsia="方正仿宋_GBK" w:cs="方正仿宋_GBK"/>
          <w:color w:val="auto"/>
          <w:sz w:val="32"/>
          <w:szCs w:val="32"/>
          <w:highlight w:val="none"/>
        </w:rPr>
        <w:t>作为联系代表，配合乙方律师开展工作。</w:t>
      </w:r>
    </w:p>
    <w:p w14:paraId="760A2F7D">
      <w:pPr>
        <w:numPr>
          <w:ilvl w:val="0"/>
          <w:numId w:val="0"/>
        </w:numPr>
        <w:ind w:leftChars="0"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聘用期限</w:t>
      </w:r>
    </w:p>
    <w:p w14:paraId="7B21E921">
      <w:pPr>
        <w:numPr>
          <w:ilvl w:val="0"/>
          <w:numId w:val="0"/>
        </w:num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highlight w:val="none"/>
          <w:lang w:val="en-US" w:eastAsia="zh-CN"/>
        </w:rPr>
        <w:t>服务期限为委托代理合同签订之日起至委托事项终止之日止。若服务期限内，服务律所处理风险化解成效不明显，根据上级部门意见，龙商担保公司有权解除服务合同；同时，根据服务律所工作投入清算服务费</w:t>
      </w: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w:t>
      </w:r>
    </w:p>
    <w:p w14:paraId="2ECFAB93">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三、乙方职责</w:t>
      </w:r>
    </w:p>
    <w:p w14:paraId="22CD104E">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根据甲方要求，乙方可提供以下法律服务：</w:t>
      </w:r>
    </w:p>
    <w:p w14:paraId="42B45AD8">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1.参与见贷即保业务经营场地走访，收集相关涉及刑事、民事案件资料；</w:t>
      </w:r>
    </w:p>
    <w:p w14:paraId="375419F6">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 xml:space="preserve">2.见贷即保业务日常法律顾问服务（提供口头或律师签署的书面咨询意见等）；                      </w:t>
      </w:r>
    </w:p>
    <w:p w14:paraId="2FEEF99A">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3.协助完善见贷即保业务内控制度（涉及公司相应的管理及业务流程）；</w:t>
      </w:r>
    </w:p>
    <w:p w14:paraId="5E0648B3">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4.参与见贷即保业务产品及流程修改完善服务；</w:t>
      </w:r>
    </w:p>
    <w:p w14:paraId="76BA24C2">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5.对见贷即保业务的专项问题论证、重大合同专项法律审核、重大事项提出法律意见并出具法律意见书；</w:t>
      </w:r>
    </w:p>
    <w:p w14:paraId="65111C1C">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6.起草、审查、修改见贷即保业务相关的合同，包括针对公司现有的格式合同和其他标准格式文件的修订及拟定相关函件；</w:t>
      </w:r>
    </w:p>
    <w:p w14:paraId="7777D42F">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7.结合公司实际需求，适时安排律师参与见贷即保业务相关的会议、对外谈判与协商活动；</w:t>
      </w:r>
    </w:p>
    <w:p w14:paraId="59F9CADC">
      <w:pPr>
        <w:numPr>
          <w:ilvl w:val="0"/>
          <w:numId w:val="0"/>
        </w:numPr>
        <w:ind w:firstLine="640" w:firstLineChars="200"/>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pPr>
      <w:r>
        <w:rPr>
          <w:rFonts w:hint="eastAsia" w:ascii="方正仿宋_GBK" w:hAnsi="方正仿宋_GBK" w:eastAsia="方正仿宋_GBK" w:cs="方正仿宋_GBK"/>
          <w:i w:val="0"/>
          <w:caps w:val="0"/>
          <w:color w:val="171A1D"/>
          <w:spacing w:val="0"/>
          <w:sz w:val="32"/>
          <w:szCs w:val="32"/>
          <w:highlight w:val="none"/>
          <w:shd w:val="clear" w:fill="FFFFFF"/>
          <w:lang w:val="en-US" w:eastAsia="zh-CN"/>
        </w:rPr>
        <w:t>8.根据公司需求，作为公司涉及见贷即保业务相关的民事、刑事诉讼代理人；</w:t>
      </w:r>
    </w:p>
    <w:p w14:paraId="2EC03CBB">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9.通过采取包括不限于刑事手段、民事诉讼、资产转让、不良资产处置、协商等方式化解龙商担保公司就见贷即保业务应承担债务金额。</w:t>
      </w:r>
    </w:p>
    <w:p w14:paraId="0B78F21E">
      <w:pPr>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甲方的权利义务</w:t>
      </w:r>
    </w:p>
    <w:p w14:paraId="48A453D3">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（一）对委托法律事务享有监督权、决策权；</w:t>
      </w:r>
    </w:p>
    <w:p w14:paraId="7903C0FD">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（二）对乙方代理工作进展享有知悉权；</w:t>
      </w:r>
    </w:p>
    <w:p w14:paraId="3C18D848">
      <w:pPr>
        <w:ind w:firstLine="320" w:firstLineChars="1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（三）</w:t>
      </w:r>
      <w:r>
        <w:rPr>
          <w:rFonts w:hint="eastAsia" w:ascii="方正仿宋_GBK" w:hAnsi="方正仿宋_GBK" w:eastAsia="方正仿宋_GBK" w:cs="方正仿宋_GBK"/>
          <w:color w:val="auto"/>
          <w:sz w:val="32"/>
          <w:szCs w:val="32"/>
          <w:lang w:val="en-US" w:eastAsia="zh-CN"/>
        </w:rPr>
        <w:t>对乙方在服务过程中能力不足或行为不当向乙方进行投诉；</w:t>
      </w:r>
    </w:p>
    <w:p w14:paraId="4DC8E251">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有权书面通知乙方更换承办律师；</w:t>
      </w:r>
    </w:p>
    <w:p w14:paraId="342A66BD">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）根据乙方工作需要，配合乙方查阅与法律顾问服务有关的制度及资料；</w:t>
      </w:r>
    </w:p>
    <w:p w14:paraId="0EC44B1A">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）甲方要求乙方履行相关顾问职责的，应尽可能事前提供必备的文件资料，并给予乙方必要的准备时间；</w:t>
      </w:r>
    </w:p>
    <w:p w14:paraId="3452A196">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rPr>
        <w:t>）提供乙方履行某项顾问职责的便利，包括提供详尽的相关案情报告、证据线索和必要的物质条件；</w:t>
      </w:r>
    </w:p>
    <w:p w14:paraId="60FF58A3">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rPr>
        <w:t>）配合乙方对承办律师服务品质进行考核及监督，及时审查并寄回律师的工作清单或服务质量反馈表；</w:t>
      </w:r>
    </w:p>
    <w:p w14:paraId="731EC162">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t>）尊重乙方对相关法律问题独立发表或出具法律意见。</w:t>
      </w:r>
    </w:p>
    <w:p w14:paraId="6F08BB52">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、乙方的权利义务</w:t>
      </w:r>
    </w:p>
    <w:p w14:paraId="5B1ECE2D">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（一）有权根据本合同第</w:t>
      </w: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条的约定获取相应报酬；</w:t>
      </w:r>
    </w:p>
    <w:p w14:paraId="7C28291C">
      <w:pPr>
        <w:ind w:firstLine="320" w:firstLineChars="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）根据甲方某一法律事务的专业需要调整服务律师，以及独立发表法律意见的权利；</w:t>
      </w:r>
    </w:p>
    <w:p w14:paraId="60DBFF05">
      <w:pPr>
        <w:ind w:firstLine="320" w:firstLineChars="1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）配合甲方通过电邮、电话、预约面谈等适当的方式，为甲方提供服务，满足甲方日常法律需求</w:t>
      </w:r>
      <w:r>
        <w:rPr>
          <w:rFonts w:hint="eastAsia" w:ascii="方正仿宋_GBK" w:hAnsi="方正仿宋_GBK" w:eastAsia="方正仿宋_GBK" w:cs="方正仿宋_GBK"/>
          <w:color w:val="auto"/>
          <w:sz w:val="32"/>
          <w:szCs w:val="32"/>
          <w:lang w:val="en-US" w:eastAsia="zh-CN"/>
        </w:rPr>
        <w:t>；</w:t>
      </w:r>
    </w:p>
    <w:p w14:paraId="29AF0E72">
      <w:pPr>
        <w:ind w:firstLine="300" w:firstLineChars="1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四</w:t>
      </w:r>
      <w:r>
        <w:rPr>
          <w:rFonts w:hint="default" w:ascii="Times New Roman" w:hAnsi="Times New Roman" w:eastAsia="方正仿宋_GBK" w:cs="Times New Roman"/>
          <w:color w:val="auto"/>
          <w:sz w:val="30"/>
          <w:szCs w:val="30"/>
        </w:rPr>
        <w:t>）乙方应恪尽职守，不谋取私利。在同一法律事务中，未经甲方同意，不得接受甲方对方当事人的委托，损害甲方合法权益；</w:t>
      </w:r>
    </w:p>
    <w:p w14:paraId="709226FF">
      <w:pPr>
        <w:ind w:firstLine="300" w:firstLineChars="100"/>
        <w:rPr>
          <w:rFonts w:hint="eastAsia"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五</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乙方必须严格遵守职业道德执业纪律，不得泄露甲方的技术秘密、商业秘密或者个人隐私；</w:t>
      </w:r>
    </w:p>
    <w:p w14:paraId="01232E15">
      <w:pPr>
        <w:ind w:firstLine="300" w:firstLineChars="100"/>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六</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合理行使代理权限，不越权或滥用代理权限，损害甲方利益。</w:t>
      </w:r>
    </w:p>
    <w:p w14:paraId="7E22465E">
      <w:pPr>
        <w:ind w:firstLine="300" w:firstLineChars="1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七</w:t>
      </w:r>
      <w:r>
        <w:rPr>
          <w:rFonts w:hint="default" w:ascii="Times New Roman" w:hAnsi="Times New Roman" w:eastAsia="方正仿宋_GBK" w:cs="Times New Roman"/>
          <w:color w:val="auto"/>
          <w:sz w:val="30"/>
          <w:szCs w:val="30"/>
        </w:rPr>
        <w:t>）甲方需要</w:t>
      </w:r>
      <w:r>
        <w:rPr>
          <w:rFonts w:hint="eastAsia" w:ascii="Times New Roman" w:hAnsi="Times New Roman" w:eastAsia="方正仿宋_GBK" w:cs="Times New Roman"/>
          <w:color w:val="auto"/>
          <w:sz w:val="30"/>
          <w:szCs w:val="30"/>
          <w:lang w:val="en-US" w:eastAsia="zh-CN"/>
        </w:rPr>
        <w:t>咨询的常规法律事务，乙方须在6工作小时内予以反馈，</w:t>
      </w:r>
      <w:r>
        <w:rPr>
          <w:rFonts w:hint="default" w:ascii="Times New Roman" w:hAnsi="Times New Roman" w:eastAsia="方正仿宋_GBK" w:cs="Times New Roman"/>
          <w:color w:val="auto"/>
          <w:sz w:val="30"/>
          <w:szCs w:val="30"/>
        </w:rPr>
        <w:t>合同</w:t>
      </w:r>
      <w:r>
        <w:rPr>
          <w:rFonts w:hint="eastAsia" w:ascii="Times New Roman" w:hAnsi="Times New Roman" w:eastAsia="方正仿宋_GBK" w:cs="Times New Roman"/>
          <w:color w:val="auto"/>
          <w:sz w:val="30"/>
          <w:szCs w:val="30"/>
          <w:lang w:val="en-US" w:eastAsia="zh-CN"/>
        </w:rPr>
        <w:t>拟定</w:t>
      </w:r>
      <w:r>
        <w:rPr>
          <w:rFonts w:hint="default" w:ascii="Times New Roman" w:hAnsi="Times New Roman" w:eastAsia="方正仿宋_GBK" w:cs="Times New Roman"/>
          <w:color w:val="auto"/>
          <w:sz w:val="30"/>
          <w:szCs w:val="30"/>
        </w:rPr>
        <w:t>乙方</w:t>
      </w:r>
      <w:r>
        <w:rPr>
          <w:rFonts w:hint="eastAsia" w:ascii="Times New Roman" w:hAnsi="Times New Roman" w:eastAsia="方正仿宋_GBK" w:cs="Times New Roman"/>
          <w:color w:val="auto"/>
          <w:sz w:val="30"/>
          <w:szCs w:val="30"/>
          <w:lang w:val="en-US" w:eastAsia="zh-CN"/>
        </w:rPr>
        <w:t>须</w:t>
      </w:r>
      <w:r>
        <w:rPr>
          <w:rFonts w:hint="default" w:ascii="Times New Roman" w:hAnsi="Times New Roman" w:eastAsia="方正仿宋_GBK" w:cs="Times New Roman"/>
          <w:color w:val="auto"/>
          <w:sz w:val="30"/>
          <w:szCs w:val="30"/>
        </w:rPr>
        <w:t>在</w:t>
      </w:r>
      <w:r>
        <w:rPr>
          <w:rFonts w:hint="eastAsia" w:ascii="Times New Roman" w:hAnsi="Times New Roman" w:eastAsia="方正仿宋_GBK" w:cs="Times New Roman"/>
          <w:color w:val="auto"/>
          <w:sz w:val="30"/>
          <w:szCs w:val="30"/>
          <w:lang w:val="en-US" w:eastAsia="zh-CN"/>
        </w:rPr>
        <w:t>2个工作日内完成，如遇紧急事项乙方须在当日内完成</w:t>
      </w:r>
      <w:r>
        <w:rPr>
          <w:rFonts w:hint="default" w:ascii="Times New Roman" w:hAnsi="Times New Roman" w:eastAsia="方正仿宋_GBK" w:cs="Times New Roman"/>
          <w:color w:val="auto"/>
          <w:sz w:val="30"/>
          <w:szCs w:val="30"/>
        </w:rPr>
        <w:t>。</w:t>
      </w:r>
    </w:p>
    <w:p w14:paraId="5DF92E43">
      <w:pPr>
        <w:ind w:firstLine="300" w:firstLineChars="1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八</w:t>
      </w:r>
      <w:r>
        <w:rPr>
          <w:rFonts w:hint="default" w:ascii="Times New Roman" w:hAnsi="Times New Roman" w:eastAsia="方正仿宋_GBK" w:cs="Times New Roman"/>
          <w:color w:val="auto"/>
          <w:sz w:val="30"/>
          <w:szCs w:val="30"/>
        </w:rPr>
        <w:t>）本合同签订后2周内，乙方应到甲方办公场所进行法律风险调查</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对调查诊断结果制定相应措施，予以完善优化</w:t>
      </w:r>
      <w:r>
        <w:rPr>
          <w:rFonts w:hint="default" w:ascii="Times New Roman" w:hAnsi="Times New Roman" w:eastAsia="方正仿宋_GBK" w:cs="Times New Roman"/>
          <w:color w:val="auto"/>
          <w:sz w:val="30"/>
          <w:szCs w:val="30"/>
        </w:rPr>
        <w:t>。</w:t>
      </w:r>
    </w:p>
    <w:p w14:paraId="61371789">
      <w:pPr>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六</w:t>
      </w:r>
      <w:r>
        <w:rPr>
          <w:rFonts w:hint="default" w:ascii="Times New Roman" w:hAnsi="Times New Roman" w:eastAsia="方正仿宋_GBK" w:cs="Times New Roman"/>
          <w:color w:val="auto"/>
          <w:sz w:val="32"/>
          <w:szCs w:val="32"/>
        </w:rPr>
        <w:t>、律师费</w:t>
      </w:r>
      <w:r>
        <w:rPr>
          <w:rFonts w:hint="eastAsia" w:ascii="Times New Roman" w:hAnsi="Times New Roman" w:eastAsia="方正仿宋_GBK" w:cs="Times New Roman"/>
          <w:color w:val="auto"/>
          <w:sz w:val="32"/>
          <w:szCs w:val="32"/>
          <w:lang w:val="en-US" w:eastAsia="zh-CN"/>
        </w:rPr>
        <w:t>和其他费用的约定</w:t>
      </w:r>
    </w:p>
    <w:p w14:paraId="645D7DC0">
      <w:pPr>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依照《律师法》及《</w:t>
      </w:r>
      <w:r>
        <w:rPr>
          <w:rFonts w:hint="eastAsia" w:ascii="Times New Roman" w:hAnsi="Times New Roman" w:eastAsia="方正仿宋_GBK" w:cs="Times New Roman"/>
          <w:color w:val="auto"/>
          <w:sz w:val="32"/>
          <w:szCs w:val="32"/>
          <w:lang w:val="en-US" w:eastAsia="zh-CN"/>
        </w:rPr>
        <w:t>重庆市服务收费指导标准</w:t>
      </w:r>
      <w:r>
        <w:rPr>
          <w:rFonts w:hint="default" w:ascii="Times New Roman" w:hAnsi="Times New Roman" w:eastAsia="方正仿宋_GBK" w:cs="Times New Roman"/>
          <w:color w:val="auto"/>
          <w:sz w:val="32"/>
          <w:szCs w:val="32"/>
        </w:rPr>
        <w:t>》的相关规定，双方</w:t>
      </w:r>
      <w:r>
        <w:rPr>
          <w:rFonts w:hint="eastAsia" w:ascii="Times New Roman" w:hAnsi="Times New Roman" w:eastAsia="方正仿宋_GBK" w:cs="Times New Roman"/>
          <w:color w:val="auto"/>
          <w:sz w:val="32"/>
          <w:szCs w:val="32"/>
          <w:lang w:val="en-US" w:eastAsia="zh-CN"/>
        </w:rPr>
        <w:t>就费用收取约定如下：</w:t>
      </w:r>
    </w:p>
    <w:p w14:paraId="332C7375">
      <w:pPr>
        <w:numPr>
          <w:ilvl w:val="0"/>
          <w:numId w:val="2"/>
        </w:numP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服务费</w:t>
      </w:r>
    </w:p>
    <w:p w14:paraId="5BC2C319">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1.基础律师服务费：</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元（大写：  元整），于服务合同签订后30日内一次性付清；</w:t>
      </w:r>
      <w:r>
        <w:rPr>
          <w:rFonts w:hint="eastAsia" w:ascii="方正仿宋_GBK" w:hAnsi="方正仿宋_GBK" w:eastAsia="方正仿宋_GBK" w:cs="方正仿宋_GBK"/>
          <w:sz w:val="32"/>
          <w:szCs w:val="32"/>
          <w:highlight w:val="none"/>
        </w:rPr>
        <w:t>基础律师服务费服务范围包含见贷即保项下所有项目（除已结清项目外</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详见附件</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14:paraId="6240E062">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3.风险代理服务费：</w:t>
      </w:r>
      <w:r>
        <w:rPr>
          <w:rFonts w:hint="eastAsia" w:ascii="方正仿宋_GBK" w:hAnsi="方正仿宋_GBK" w:eastAsia="方正仿宋_GBK" w:cs="方正仿宋_GBK"/>
          <w:sz w:val="32"/>
          <w:szCs w:val="32"/>
          <w:highlight w:val="none"/>
        </w:rPr>
        <w:t>风险代理服务费计费基础为龙商担保公司见贷即保项下未首次成功续贷的所有项目，应对浙商银行承担的债务金额，</w:t>
      </w:r>
      <w:r>
        <w:rPr>
          <w:rFonts w:hint="eastAsia" w:ascii="方正仿宋_GBK" w:hAnsi="方正仿宋_GBK" w:eastAsia="方正仿宋_GBK" w:cs="方正仿宋_GBK"/>
          <w:sz w:val="32"/>
          <w:szCs w:val="32"/>
          <w:highlight w:val="none"/>
          <w:lang w:val="en-US" w:eastAsia="zh-CN"/>
        </w:rPr>
        <w:t>经律所协助采取包括不限于刑事手段、民事诉讼、资产转让、不良资产处置、协商等方式得到化解的，则以龙商担保公司应承担债务金额与最终承担债务额度之间的差额部分（化债金额）为基数按5%计算风险代理费。风险代理费于债务化解之日起30日内按上述比例笔笔付清。</w:t>
      </w:r>
    </w:p>
    <w:p w14:paraId="63DA3EF2">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龙商担保公司应承担债务金额指：龙商担保公司因为见贷即保业务为浙商银行相关贷款提供担保，贷款人债务违约导致龙商担保公司被浙商银行根据担保协议主张担保责任的金额。</w:t>
      </w:r>
    </w:p>
    <w:p w14:paraId="62A391EC">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龙商担保公司最终承担债务额度指：龙商担保公司与浙商银行签订化债协议最终由龙商担保公司实际承担的金额，或由龙商担保公司指定的第三方公司与相关公司签订见贷即保业务资产包的不良资产收购合同确定的实际债权转让价款金额。</w:t>
      </w:r>
    </w:p>
    <w:p w14:paraId="63167074">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债务化解之日指：龙商担保公司与浙商银行签订化债协议、或由龙商担保公司指定的第三方公司与相关公司签订见贷即保业务资产包的不良资产收购合同之日。</w:t>
      </w:r>
    </w:p>
    <w:p w14:paraId="4DCCE48E">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化债金额包括本息及其他根据合同约定应承担的相关费用等。根据律所服务，相关贷款人在已逾期的情况下实际归还了贷款，导致龙商担保公司未被浙商银行主张承担担保责任，该部分归还金额亦应计入化债金额。</w:t>
      </w:r>
    </w:p>
    <w:p w14:paraId="02083F7F">
      <w:pPr>
        <w:numPr>
          <w:ilvl w:val="0"/>
          <w:numId w:val="0"/>
        </w:numPr>
        <w:ind w:firstLine="320" w:firstLineChars="1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（二）差旅费等包干杂费</w:t>
      </w:r>
    </w:p>
    <w:p w14:paraId="59CE0BEC">
      <w:pPr>
        <w:numPr>
          <w:ilvl w:val="0"/>
          <w:numId w:val="0"/>
        </w:numPr>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1.律</w:t>
      </w:r>
      <w:r>
        <w:rPr>
          <w:rFonts w:hint="eastAsia" w:ascii="Times New Roman" w:hAnsi="Times New Roman" w:eastAsia="方正仿宋_GBK" w:cs="Times New Roman"/>
          <w:color w:val="auto"/>
          <w:sz w:val="32"/>
          <w:szCs w:val="32"/>
          <w:lang w:val="en-US" w:eastAsia="zh-CN"/>
        </w:rPr>
        <w:t>顾问律师服务费</w:t>
      </w:r>
      <w:r>
        <w:rPr>
          <w:rFonts w:hint="eastAsia" w:ascii="Times New Roman" w:hAnsi="Times New Roman" w:eastAsia="方正仿宋_GBK" w:cs="Times New Roman"/>
          <w:sz w:val="32"/>
          <w:szCs w:val="32"/>
          <w:highlight w:val="none"/>
          <w:lang w:eastAsia="zh-CN"/>
        </w:rPr>
        <w:t>包括但不限于律师费、差旅费、管理费、利润、风险费、税费等所有费用，不因政策文件及市场行情变化而调整</w:t>
      </w:r>
      <w:r>
        <w:rPr>
          <w:rFonts w:hint="eastAsia" w:ascii="Times New Roman" w:hAnsi="Times New Roman" w:eastAsia="方正仿宋_GBK" w:cs="Times New Roman"/>
          <w:color w:val="auto"/>
          <w:sz w:val="32"/>
          <w:szCs w:val="32"/>
          <w:highlight w:val="none"/>
          <w:lang w:val="en-US" w:eastAsia="zh-CN"/>
        </w:rPr>
        <w:t>。</w:t>
      </w:r>
    </w:p>
    <w:p w14:paraId="11B63C80">
      <w:pPr>
        <w:ind w:firstLine="320" w:firstLineChars="1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三</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其他第三方费用</w:t>
      </w:r>
    </w:p>
    <w:p w14:paraId="12B2AC3D">
      <w:pPr>
        <w:ind w:firstLine="640" w:firstLineChars="200"/>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rPr>
        <w:t>乙方为承办甲方法律事务实际支出的各项合理费用（如</w:t>
      </w:r>
      <w:r>
        <w:rPr>
          <w:rFonts w:hint="eastAsia" w:ascii="Times New Roman" w:hAnsi="Times New Roman" w:eastAsia="方正仿宋_GBK" w:cs="Times New Roman"/>
          <w:color w:val="auto"/>
          <w:sz w:val="32"/>
          <w:szCs w:val="32"/>
          <w:highlight w:val="none"/>
          <w:lang w:val="en-US" w:eastAsia="zh-CN"/>
        </w:rPr>
        <w:t>鉴定费、评估费、</w:t>
      </w:r>
      <w:r>
        <w:rPr>
          <w:rFonts w:hint="default" w:ascii="Times New Roman" w:hAnsi="Times New Roman" w:eastAsia="方正仿宋_GBK" w:cs="Times New Roman"/>
          <w:color w:val="auto"/>
          <w:sz w:val="32"/>
          <w:szCs w:val="32"/>
          <w:highlight w:val="none"/>
        </w:rPr>
        <w:t>查档费、</w:t>
      </w:r>
      <w:r>
        <w:rPr>
          <w:rFonts w:hint="eastAsia" w:ascii="Times New Roman" w:hAnsi="Times New Roman" w:eastAsia="方正仿宋_GBK" w:cs="Times New Roman"/>
          <w:color w:val="auto"/>
          <w:sz w:val="32"/>
          <w:szCs w:val="32"/>
          <w:highlight w:val="none"/>
          <w:lang w:val="en-US" w:eastAsia="zh-CN"/>
        </w:rPr>
        <w:t>公证费、公告费、</w:t>
      </w:r>
      <w:r>
        <w:rPr>
          <w:rFonts w:hint="default" w:ascii="Times New Roman" w:hAnsi="Times New Roman" w:eastAsia="方正仿宋_GBK" w:cs="Times New Roman"/>
          <w:color w:val="auto"/>
          <w:sz w:val="32"/>
          <w:szCs w:val="32"/>
          <w:highlight w:val="none"/>
        </w:rPr>
        <w:t>邮费</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专家论证会费</w:t>
      </w:r>
      <w:r>
        <w:rPr>
          <w:rFonts w:hint="default" w:ascii="Times New Roman" w:hAnsi="Times New Roman" w:eastAsia="方正仿宋_GBK" w:cs="Times New Roman"/>
          <w:color w:val="auto"/>
          <w:sz w:val="32"/>
          <w:szCs w:val="32"/>
          <w:highlight w:val="none"/>
        </w:rPr>
        <w:t>等</w:t>
      </w:r>
      <w:r>
        <w:rPr>
          <w:rFonts w:hint="eastAsia" w:ascii="Times New Roman" w:hAnsi="Times New Roman" w:eastAsia="方正仿宋_GBK" w:cs="Times New Roman"/>
          <w:color w:val="auto"/>
          <w:sz w:val="32"/>
          <w:szCs w:val="32"/>
          <w:highlight w:val="none"/>
          <w:lang w:val="en-US" w:eastAsia="zh-CN"/>
        </w:rPr>
        <w:t>第三方收取费用</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不属于顾问律师服务费，</w:t>
      </w:r>
      <w:r>
        <w:rPr>
          <w:rFonts w:hint="default" w:ascii="Times New Roman" w:hAnsi="Times New Roman" w:eastAsia="方正仿宋_GBK" w:cs="Times New Roman"/>
          <w:color w:val="auto"/>
          <w:sz w:val="32"/>
          <w:szCs w:val="32"/>
          <w:highlight w:val="none"/>
        </w:rPr>
        <w:t>由甲方</w:t>
      </w:r>
      <w:r>
        <w:rPr>
          <w:rFonts w:hint="eastAsia" w:ascii="Times New Roman" w:hAnsi="Times New Roman" w:eastAsia="方正仿宋_GBK" w:cs="Times New Roman"/>
          <w:color w:val="auto"/>
          <w:sz w:val="32"/>
          <w:szCs w:val="32"/>
          <w:highlight w:val="none"/>
          <w:lang w:val="en-US" w:eastAsia="zh-CN"/>
        </w:rPr>
        <w:t>按照工作需求及时支付</w:t>
      </w:r>
      <w:r>
        <w:rPr>
          <w:rFonts w:hint="eastAsia" w:ascii="Times New Roman" w:hAnsi="Times New Roman" w:eastAsia="方正仿宋_GBK" w:cs="Times New Roman"/>
          <w:color w:val="auto"/>
          <w:sz w:val="32"/>
          <w:szCs w:val="32"/>
          <w:highlight w:val="none"/>
          <w:lang w:eastAsia="zh-CN"/>
        </w:rPr>
        <w:t>。</w:t>
      </w:r>
    </w:p>
    <w:p w14:paraId="68D38E04">
      <w:pPr>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七、保密义务</w:t>
      </w:r>
    </w:p>
    <w:p w14:paraId="000332B5">
      <w:pPr>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双方同意，本合同的全部内容及本合同履行过程中所形成的双方文件均为各自的商业秘密，任何一方均应只限于与本合同履行相关。</w:t>
      </w:r>
    </w:p>
    <w:p w14:paraId="03FE7A83">
      <w:pPr>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八、</w:t>
      </w:r>
      <w:r>
        <w:rPr>
          <w:rFonts w:hint="default" w:ascii="Times New Roman" w:hAnsi="Times New Roman" w:eastAsia="方正仿宋_GBK" w:cs="Times New Roman"/>
          <w:color w:val="auto"/>
          <w:sz w:val="32"/>
          <w:szCs w:val="32"/>
        </w:rPr>
        <w:t>违约责任</w:t>
      </w:r>
    </w:p>
    <w:p w14:paraId="4DF23EBB">
      <w:pPr>
        <w:ind w:firstLine="320" w:firstLineChars="1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一</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聘期内，</w:t>
      </w:r>
      <w:r>
        <w:rPr>
          <w:rFonts w:hint="eastAsia" w:ascii="Times New Roman" w:hAnsi="Times New Roman" w:eastAsia="方正仿宋_GBK" w:cs="Times New Roman"/>
          <w:color w:val="auto"/>
          <w:sz w:val="32"/>
          <w:szCs w:val="32"/>
          <w:lang w:val="en-US" w:eastAsia="zh-CN"/>
        </w:rPr>
        <w:t>任何一方不得无故提前解除合同。</w:t>
      </w:r>
      <w:r>
        <w:rPr>
          <w:rFonts w:hint="default" w:ascii="Times New Roman" w:hAnsi="Times New Roman" w:eastAsia="方正仿宋_GBK" w:cs="Times New Roman"/>
          <w:color w:val="auto"/>
          <w:sz w:val="32"/>
          <w:szCs w:val="32"/>
        </w:rPr>
        <w:t>若甲方单方解除（终止）合同，已支付给乙方的顾问费不予退还，未交足的应予补足；若乙方单方解除合同，已收取顾问</w:t>
      </w:r>
      <w:r>
        <w:rPr>
          <w:rFonts w:hint="eastAsia" w:ascii="Times New Roman" w:hAnsi="Times New Roman" w:eastAsia="方正仿宋_GBK" w:cs="Times New Roman"/>
          <w:color w:val="auto"/>
          <w:sz w:val="32"/>
          <w:szCs w:val="32"/>
          <w:lang w:val="en-US" w:eastAsia="zh-CN"/>
        </w:rPr>
        <w:t>律师</w:t>
      </w:r>
      <w:r>
        <w:rPr>
          <w:rFonts w:hint="default" w:ascii="Times New Roman" w:hAnsi="Times New Roman" w:eastAsia="方正仿宋_GBK" w:cs="Times New Roman"/>
          <w:color w:val="auto"/>
          <w:sz w:val="32"/>
          <w:szCs w:val="32"/>
        </w:rPr>
        <w:t>费</w:t>
      </w:r>
      <w:r>
        <w:rPr>
          <w:rFonts w:hint="eastAsia" w:ascii="Times New Roman" w:hAnsi="Times New Roman" w:eastAsia="方正仿宋_GBK" w:cs="Times New Roman"/>
          <w:color w:val="auto"/>
          <w:sz w:val="32"/>
          <w:szCs w:val="32"/>
          <w:lang w:val="en-US" w:eastAsia="zh-CN"/>
        </w:rPr>
        <w:t>全额</w:t>
      </w:r>
      <w:r>
        <w:rPr>
          <w:rFonts w:hint="default" w:ascii="Times New Roman" w:hAnsi="Times New Roman" w:eastAsia="方正仿宋_GBK" w:cs="Times New Roman"/>
          <w:color w:val="auto"/>
          <w:sz w:val="32"/>
          <w:szCs w:val="32"/>
        </w:rPr>
        <w:t>退还甲方。</w:t>
      </w:r>
    </w:p>
    <w:p w14:paraId="6DF83A8C">
      <w:pPr>
        <w:ind w:firstLine="320" w:firstLineChars="1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合同有效期内，若因乙方严重违反职业道德规范或者有关法律法规导致甲方损失，乙方在过错责任范围内赔偿甲方因此所受到的直接损失</w:t>
      </w:r>
      <w:r>
        <w:rPr>
          <w:rFonts w:hint="default" w:ascii="Times New Roman" w:hAnsi="Times New Roman" w:eastAsia="方正仿宋_GBK" w:cs="Times New Roman"/>
          <w:color w:val="auto"/>
          <w:sz w:val="32"/>
          <w:szCs w:val="32"/>
        </w:rPr>
        <w:t>。</w:t>
      </w:r>
    </w:p>
    <w:p w14:paraId="475584E2">
      <w:pPr>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九</w:t>
      </w:r>
      <w:r>
        <w:rPr>
          <w:rFonts w:hint="default" w:ascii="Times New Roman" w:hAnsi="Times New Roman" w:eastAsia="方正仿宋_GBK" w:cs="Times New Roman"/>
          <w:color w:val="auto"/>
          <w:sz w:val="32"/>
          <w:szCs w:val="32"/>
        </w:rPr>
        <w:t>、送达条款</w:t>
      </w:r>
    </w:p>
    <w:p w14:paraId="2506F871">
      <w:pPr>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合同下任何一方向对方发出的通知、信件、数据电文等，应当发送至本合同约定的地址、联系人和通信终端。一方变更名称、地址、联系人或通信终端的，应当在变更后7日内及时通知对方，对方实际收到变更通知前的送达仍为有效送达，电子送达与书面送达具有同等法律效力。通知视为有效送达的日期按以下方法确定：</w:t>
      </w:r>
    </w:p>
    <w:p w14:paraId="67AB5B1A">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（一）专人递交的通知，在专人递交之日视为有效送达；</w:t>
      </w:r>
    </w:p>
    <w:p w14:paraId="3F90AB68">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（二）以挂号信(预付邮资)发出的通知，在寄出日(以邮戳为凭)后的第五日视为有效送达；</w:t>
      </w:r>
    </w:p>
    <w:p w14:paraId="2D3119A2">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（三）以快递发送的通知，在发送日(以快递公司出具的收据为凭)视为有效送达；</w:t>
      </w:r>
    </w:p>
    <w:p w14:paraId="4FD078EF">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w:t>
      </w:r>
      <w:r>
        <w:rPr>
          <w:rFonts w:hint="eastAsia" w:ascii="Times New Roman" w:hAnsi="Times New Roman" w:eastAsia="方正仿宋_GBK" w:cs="Times New Roman"/>
          <w:color w:val="auto"/>
          <w:sz w:val="32"/>
          <w:szCs w:val="32"/>
          <w:lang w:val="en-US" w:eastAsia="zh-CN"/>
        </w:rPr>
        <w:t>发出的短信/传真/微信/电子邮件，自前述电子文件内容在发送方正确填写地址且未被系统退回的情况下，视为进入对方数据电文接收系统即视为送达。若送达日为非工作日，则视为在下一工作日送达</w:t>
      </w:r>
      <w:r>
        <w:rPr>
          <w:rFonts w:hint="default" w:ascii="Times New Roman" w:hAnsi="Times New Roman" w:eastAsia="方正仿宋_GBK" w:cs="Times New Roman"/>
          <w:color w:val="auto"/>
          <w:sz w:val="32"/>
          <w:szCs w:val="32"/>
        </w:rPr>
        <w:t>。</w:t>
      </w:r>
    </w:p>
    <w:p w14:paraId="69425708">
      <w:pPr>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 xml:space="preserve"> 本合同约定的地址、联系人及电子通信终端亦为双方工作联系往来、法律文书及争议解决时人民法院和/或仲裁机构的法律文书送达地址，人民法院和/或仲裁机构的诉讼文书（含裁判文书）向合同任何一方的上述地址送达的，视为有效送达。当事人对电子通信终端的联系送达适用于争议解决时的送达。</w:t>
      </w:r>
    </w:p>
    <w:p w14:paraId="189BA829">
      <w:pPr>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十</w:t>
      </w:r>
      <w:r>
        <w:rPr>
          <w:rFonts w:hint="default" w:ascii="Times New Roman" w:hAnsi="Times New Roman" w:eastAsia="方正仿宋_GBK" w:cs="Times New Roman"/>
          <w:color w:val="auto"/>
          <w:sz w:val="32"/>
          <w:szCs w:val="32"/>
        </w:rPr>
        <w:t>、争议解决</w:t>
      </w:r>
    </w:p>
    <w:p w14:paraId="6F269BE1">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在合同履行过程中发生争议，双方协商解决。协商不成的，可向合同签订地九龙坡区，即九龙坡区人民法院提起诉讼。</w:t>
      </w:r>
    </w:p>
    <w:p w14:paraId="075D8E71">
      <w:pPr>
        <w:numPr>
          <w:ilvl w:val="0"/>
          <w:numId w:val="0"/>
        </w:numPr>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十一、其他</w:t>
      </w:r>
    </w:p>
    <w:p w14:paraId="73E8B8C2">
      <w:pPr>
        <w:numPr>
          <w:ilvl w:val="0"/>
          <w:numId w:val="0"/>
        </w:numPr>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本合同未尽事宜，双方可另行协商并达成书面补充协议，补充协议与本合同具有同等法律效力。</w:t>
      </w:r>
    </w:p>
    <w:p w14:paraId="60692143">
      <w:pPr>
        <w:numPr>
          <w:ilvl w:val="0"/>
          <w:numId w:val="0"/>
        </w:numPr>
        <w:rPr>
          <w:rFonts w:hint="eastAsia" w:ascii="Times New Roman" w:hAnsi="Times New Roman" w:eastAsia="方正仿宋_GBK" w:cs="Times New Roman"/>
          <w:color w:val="auto"/>
          <w:sz w:val="32"/>
          <w:szCs w:val="32"/>
          <w:lang w:val="en-US" w:eastAsia="zh-CN"/>
        </w:rPr>
      </w:pPr>
    </w:p>
    <w:p w14:paraId="51898321">
      <w:pPr>
        <w:numPr>
          <w:ilvl w:val="0"/>
          <w:numId w:val="0"/>
        </w:numPr>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十二、</w:t>
      </w:r>
      <w:r>
        <w:rPr>
          <w:rFonts w:hint="default" w:ascii="Times New Roman" w:hAnsi="Times New Roman" w:eastAsia="方正仿宋_GBK" w:cs="Times New Roman"/>
          <w:color w:val="auto"/>
          <w:sz w:val="32"/>
          <w:szCs w:val="32"/>
        </w:rPr>
        <w:t>合同生效</w:t>
      </w:r>
    </w:p>
    <w:p w14:paraId="25F03369">
      <w:pPr>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本合同一式两份，经双方签字或盖章生效。甲乙双方各执一份，具有同等法律效力。</w:t>
      </w:r>
    </w:p>
    <w:p w14:paraId="24B4E8BB">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tbl>
      <w:tblPr>
        <w:tblStyle w:val="15"/>
        <w:tblpPr w:leftFromText="180" w:rightFromText="180" w:vertAnchor="text" w:horzAnchor="page" w:tblpX="1195" w:tblpY="344"/>
        <w:tblOverlap w:val="never"/>
        <w:tblW w:w="9000" w:type="dxa"/>
        <w:tblInd w:w="0" w:type="dxa"/>
        <w:tblLayout w:type="fixed"/>
        <w:tblCellMar>
          <w:top w:w="0" w:type="dxa"/>
          <w:left w:w="108" w:type="dxa"/>
          <w:bottom w:w="0" w:type="dxa"/>
          <w:right w:w="108" w:type="dxa"/>
        </w:tblCellMar>
      </w:tblPr>
      <w:tblGrid>
        <w:gridCol w:w="4680"/>
        <w:gridCol w:w="4320"/>
      </w:tblGrid>
      <w:tr w14:paraId="0D74BE21">
        <w:tblPrEx>
          <w:tblCellMar>
            <w:top w:w="0" w:type="dxa"/>
            <w:left w:w="108" w:type="dxa"/>
            <w:bottom w:w="0" w:type="dxa"/>
            <w:right w:w="108" w:type="dxa"/>
          </w:tblCellMar>
        </w:tblPrEx>
        <w:trPr>
          <w:trHeight w:val="840" w:hRule="atLeast"/>
        </w:trPr>
        <w:tc>
          <w:tcPr>
            <w:tcW w:w="4680" w:type="dxa"/>
            <w:noWrap w:val="0"/>
            <w:vAlign w:val="top"/>
          </w:tcPr>
          <w:p w14:paraId="553FF531">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以下无正文</w:t>
            </w:r>
          </w:p>
          <w:p w14:paraId="13BE63C9">
            <w:pPr>
              <w:rPr>
                <w:rFonts w:hint="default" w:ascii="Times New Roman" w:hAnsi="Times New Roman" w:eastAsia="方正仿宋_GBK" w:cs="Times New Roman"/>
                <w:color w:val="auto"/>
                <w:sz w:val="32"/>
                <w:szCs w:val="32"/>
              </w:rPr>
            </w:pPr>
          </w:p>
          <w:p w14:paraId="76FAFEA5">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甲方：重庆</w:t>
            </w:r>
            <w:r>
              <w:rPr>
                <w:rFonts w:hint="eastAsia" w:ascii="Times New Roman" w:hAnsi="Times New Roman" w:eastAsia="方正仿宋_GBK" w:cs="Times New Roman"/>
                <w:color w:val="auto"/>
                <w:sz w:val="32"/>
                <w:szCs w:val="32"/>
                <w:lang w:val="en-US" w:eastAsia="zh-CN"/>
              </w:rPr>
              <w:t>市龙商融资担保有限责任公司</w:t>
            </w:r>
          </w:p>
          <w:p w14:paraId="6ECA8A01">
            <w:pPr>
              <w:rPr>
                <w:rFonts w:hint="default" w:ascii="Times New Roman" w:hAnsi="Times New Roman" w:eastAsia="方正仿宋_GBK" w:cs="Times New Roman"/>
                <w:color w:val="auto"/>
                <w:sz w:val="32"/>
                <w:szCs w:val="32"/>
              </w:rPr>
            </w:pPr>
          </w:p>
        </w:tc>
        <w:tc>
          <w:tcPr>
            <w:tcW w:w="4320" w:type="dxa"/>
            <w:noWrap w:val="0"/>
            <w:vAlign w:val="top"/>
          </w:tcPr>
          <w:p w14:paraId="399C8C33">
            <w:pPr>
              <w:rPr>
                <w:rFonts w:hint="default" w:ascii="Times New Roman" w:hAnsi="Times New Roman" w:eastAsia="方正仿宋_GBK" w:cs="Times New Roman"/>
                <w:color w:val="auto"/>
                <w:sz w:val="32"/>
                <w:szCs w:val="32"/>
              </w:rPr>
            </w:pPr>
          </w:p>
          <w:p w14:paraId="1B2C4407">
            <w:pPr>
              <w:rPr>
                <w:rFonts w:hint="default" w:ascii="Times New Roman" w:hAnsi="Times New Roman" w:eastAsia="方正仿宋_GBK" w:cs="Times New Roman"/>
                <w:color w:val="auto"/>
                <w:sz w:val="32"/>
                <w:szCs w:val="32"/>
              </w:rPr>
            </w:pPr>
          </w:p>
          <w:p w14:paraId="03E830EB">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乙方：</w:t>
            </w:r>
          </w:p>
          <w:p w14:paraId="26B605D9">
            <w:pPr>
              <w:rPr>
                <w:rFonts w:hint="default" w:ascii="Times New Roman" w:hAnsi="Times New Roman" w:eastAsia="方正仿宋_GBK" w:cs="Times New Roman"/>
                <w:color w:val="auto"/>
                <w:sz w:val="32"/>
                <w:szCs w:val="32"/>
              </w:rPr>
            </w:pPr>
          </w:p>
        </w:tc>
      </w:tr>
      <w:tr w14:paraId="0F8FA13C">
        <w:tblPrEx>
          <w:tblCellMar>
            <w:top w:w="0" w:type="dxa"/>
            <w:left w:w="108" w:type="dxa"/>
            <w:bottom w:w="0" w:type="dxa"/>
            <w:right w:w="108" w:type="dxa"/>
          </w:tblCellMar>
        </w:tblPrEx>
        <w:trPr>
          <w:trHeight w:val="1764" w:hRule="atLeast"/>
        </w:trPr>
        <w:tc>
          <w:tcPr>
            <w:tcW w:w="4680" w:type="dxa"/>
            <w:noWrap w:val="0"/>
            <w:vAlign w:val="top"/>
          </w:tcPr>
          <w:p w14:paraId="0448A633">
            <w:pP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签约代表人：</w:t>
            </w:r>
          </w:p>
          <w:p w14:paraId="5A2A6007">
            <w:pPr>
              <w:rPr>
                <w:rFonts w:hint="default" w:ascii="Times New Roman" w:hAnsi="Times New Roman" w:eastAsia="方正仿宋_GBK" w:cs="Times New Roman"/>
                <w:color w:val="auto"/>
                <w:sz w:val="32"/>
                <w:szCs w:val="32"/>
              </w:rPr>
            </w:pPr>
          </w:p>
          <w:p w14:paraId="0F9BF0A0">
            <w:pPr>
              <w:rPr>
                <w:rFonts w:hint="default" w:ascii="Times New Roman" w:hAnsi="Times New Roman" w:eastAsia="方正仿宋_GBK" w:cs="Times New Roman"/>
                <w:color w:val="auto"/>
                <w:sz w:val="32"/>
                <w:szCs w:val="32"/>
              </w:rPr>
            </w:pPr>
          </w:p>
          <w:p w14:paraId="20BAA2C6">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联系电话：</w:t>
            </w:r>
          </w:p>
          <w:p w14:paraId="0B054F95">
            <w:pPr>
              <w:rPr>
                <w:rFonts w:hint="default" w:ascii="Times New Roman" w:hAnsi="Times New Roman" w:eastAsia="方正仿宋_GBK" w:cs="Times New Roman"/>
                <w:color w:val="auto"/>
                <w:sz w:val="32"/>
                <w:szCs w:val="32"/>
              </w:rPr>
            </w:pPr>
          </w:p>
          <w:p w14:paraId="47AE63F1">
            <w:pPr>
              <w:rPr>
                <w:rFonts w:hint="default" w:ascii="Times New Roman" w:hAnsi="Times New Roman" w:eastAsia="方正仿宋_GBK" w:cs="Times New Roman"/>
                <w:color w:val="auto"/>
                <w:sz w:val="32"/>
                <w:szCs w:val="32"/>
              </w:rPr>
            </w:pPr>
          </w:p>
        </w:tc>
        <w:tc>
          <w:tcPr>
            <w:tcW w:w="4320" w:type="dxa"/>
            <w:noWrap w:val="0"/>
            <w:vAlign w:val="top"/>
          </w:tcPr>
          <w:p w14:paraId="4E0E48A9">
            <w:pP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签约代表人：</w:t>
            </w:r>
          </w:p>
          <w:p w14:paraId="35C6D86C">
            <w:pPr>
              <w:rPr>
                <w:rFonts w:hint="eastAsia" w:ascii="Times New Roman" w:hAnsi="Times New Roman" w:eastAsia="方正仿宋_GBK" w:cs="Times New Roman"/>
                <w:color w:val="auto"/>
                <w:sz w:val="32"/>
                <w:szCs w:val="32"/>
                <w:lang w:val="en-US" w:eastAsia="zh-CN"/>
              </w:rPr>
            </w:pPr>
          </w:p>
          <w:p w14:paraId="5961E7C0">
            <w:pPr>
              <w:rPr>
                <w:rFonts w:hint="eastAsia" w:ascii="Times New Roman" w:hAnsi="Times New Roman" w:eastAsia="方正仿宋_GBK" w:cs="Times New Roman"/>
                <w:color w:val="auto"/>
                <w:sz w:val="32"/>
                <w:szCs w:val="32"/>
                <w:lang w:val="en-US" w:eastAsia="zh-CN"/>
              </w:rPr>
            </w:pPr>
          </w:p>
          <w:p w14:paraId="5F35D9EE">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联系电话：</w:t>
            </w:r>
          </w:p>
          <w:p w14:paraId="5BF28D95">
            <w:pPr>
              <w:rPr>
                <w:rFonts w:hint="default" w:ascii="Times New Roman" w:hAnsi="Times New Roman" w:eastAsia="方正仿宋_GBK" w:cs="Times New Roman"/>
                <w:color w:val="auto"/>
                <w:sz w:val="32"/>
                <w:szCs w:val="32"/>
              </w:rPr>
            </w:pPr>
          </w:p>
          <w:p w14:paraId="60D5EB9F">
            <w:pPr>
              <w:rPr>
                <w:rFonts w:hint="default" w:ascii="Times New Roman" w:hAnsi="Times New Roman" w:eastAsia="方正仿宋_GBK" w:cs="Times New Roman"/>
                <w:color w:val="auto"/>
                <w:sz w:val="32"/>
                <w:szCs w:val="32"/>
              </w:rPr>
            </w:pPr>
          </w:p>
        </w:tc>
      </w:tr>
    </w:tbl>
    <w:p w14:paraId="15A9B5A1">
      <w:pPr>
        <w:rPr>
          <w:rFonts w:hint="default" w:ascii="Times New Roman" w:hAnsi="Times New Roman" w:eastAsia="方正仿宋_GBK" w:cs="Times New Roman"/>
          <w:color w:val="auto"/>
          <w:sz w:val="30"/>
          <w:szCs w:val="30"/>
        </w:rPr>
      </w:pPr>
    </w:p>
    <w:p w14:paraId="59FB59F5">
      <w:pPr>
        <w:rPr>
          <w:rFonts w:hint="default" w:ascii="Times New Roman" w:hAnsi="Times New Roman" w:eastAsia="方正仿宋_GBK" w:cs="Times New Roman"/>
          <w:color w:val="auto"/>
          <w:sz w:val="30"/>
          <w:szCs w:val="30"/>
        </w:rPr>
      </w:pPr>
    </w:p>
    <w:p w14:paraId="04AE3C08">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签订日期：</w:t>
      </w:r>
    </w:p>
    <w:p w14:paraId="4E3F4712">
      <w:pPr>
        <w:tabs>
          <w:tab w:val="left" w:pos="2633"/>
        </w:tabs>
        <w:bidi w:val="0"/>
        <w:jc w:val="left"/>
        <w:rPr>
          <w:rFonts w:hint="eastAsia"/>
          <w:lang w:val="en-US" w:eastAsia="zh-CN"/>
        </w:rPr>
      </w:pPr>
    </w:p>
    <w:p w14:paraId="4B72D334">
      <w:pPr>
        <w:jc w:val="both"/>
        <w:rPr>
          <w:rFonts w:hint="eastAsia" w:ascii="方正仿宋_GBK" w:hAnsi="方正仿宋_GBK" w:eastAsia="方正仿宋_GBK" w:cs="方正仿宋_GBK"/>
          <w:sz w:val="32"/>
          <w:szCs w:val="32"/>
          <w:lang w:val="en-US" w:eastAsia="zh-CN"/>
        </w:rPr>
      </w:pPr>
    </w:p>
    <w:p w14:paraId="178506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lang w:val="en-US" w:eastAsia="zh-CN"/>
        </w:rPr>
      </w:pPr>
    </w:p>
    <w:p w14:paraId="17A9772F">
      <w:pPr>
        <w:rPr>
          <w:rFonts w:hint="default" w:ascii="Times New Roman" w:hAnsi="Times New Roman" w:eastAsia="方正仿宋_GBK" w:cs="Times New Roman"/>
          <w:color w:val="auto"/>
          <w:sz w:val="30"/>
          <w:szCs w:val="30"/>
        </w:rPr>
      </w:pPr>
    </w:p>
    <w:p w14:paraId="3F0B1E08">
      <w:pPr>
        <w:rPr>
          <w:rFonts w:hint="default" w:ascii="Times New Roman" w:hAnsi="Times New Roman" w:eastAsia="方正仿宋_GBK" w:cs="Times New Roman"/>
          <w:color w:val="auto"/>
          <w:sz w:val="30"/>
          <w:szCs w:val="30"/>
        </w:rPr>
      </w:pPr>
    </w:p>
    <w:p w14:paraId="793BD3D6">
      <w:pP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auto"/>
          <w:sz w:val="30"/>
          <w:szCs w:val="30"/>
        </w:rPr>
        <w:t>签订日期：</w:t>
      </w:r>
    </w:p>
    <w:sectPr>
      <w:headerReference r:id="rId3" w:type="default"/>
      <w:footerReference r:id="rId4" w:type="default"/>
      <w:pgSz w:w="11906" w:h="16838"/>
      <w:pgMar w:top="2098" w:right="1531" w:bottom="1985" w:left="1531"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E32AC72-44DD-48C8-BE36-50557391210C}"/>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2" w:fontKey="{75D409E4-BE35-4B3A-A8B9-A57311BFD2C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C0EA0DEC-CB98-4425-B555-6B71C5BE93A6}"/>
  </w:font>
  <w:font w:name="方正小标宋_GBK">
    <w:panose1 w:val="03000509000000000000"/>
    <w:charset w:val="86"/>
    <w:family w:val="script"/>
    <w:pitch w:val="default"/>
    <w:sig w:usb0="00000001" w:usb1="080E0000" w:usb2="00000000" w:usb3="00000000" w:csb0="00040000" w:csb1="00000000"/>
    <w:embedRegular r:id="rId4" w:fontKey="{D15E42EC-C69D-40FA-82E2-C7F4C2FDE0DA}"/>
  </w:font>
  <w:font w:name="方正黑体_GBK">
    <w:panose1 w:val="03000509000000000000"/>
    <w:charset w:val="86"/>
    <w:family w:val="script"/>
    <w:pitch w:val="default"/>
    <w:sig w:usb0="00000001" w:usb1="080E0000" w:usb2="00000000" w:usb3="00000000" w:csb0="00040000" w:csb1="00000000"/>
    <w:embedRegular r:id="rId5" w:fontKey="{0F4FE710-5EFB-4FC7-8306-EF028C2B0350}"/>
  </w:font>
  <w:font w:name="方正楷体_GBK">
    <w:panose1 w:val="03000509000000000000"/>
    <w:charset w:val="86"/>
    <w:family w:val="auto"/>
    <w:pitch w:val="default"/>
    <w:sig w:usb0="00000001" w:usb1="080E0000" w:usb2="00000000" w:usb3="00000000" w:csb0="00040000" w:csb1="00000000"/>
    <w:embedRegular r:id="rId6" w:fontKey="{6BD700B5-1AEC-4528-B6E6-57071B635E5F}"/>
  </w:font>
  <w:font w:name="方正仿宋_GB2312">
    <w:panose1 w:val="02000000000000000000"/>
    <w:charset w:val="86"/>
    <w:family w:val="auto"/>
    <w:pitch w:val="default"/>
    <w:sig w:usb0="A00002BF" w:usb1="184F6CFA" w:usb2="00000012" w:usb3="00000000" w:csb0="00040001" w:csb1="00000000"/>
    <w:embedRegular r:id="rId7" w:fontKey="{7A8203AF-AF04-4262-9915-A2A6ACBBFF97}"/>
  </w:font>
  <w:font w:name="汉仪全唐诗简">
    <w:altName w:val="华文中宋"/>
    <w:panose1 w:val="00000000000000000000"/>
    <w:charset w:val="86"/>
    <w:family w:val="auto"/>
    <w:pitch w:val="default"/>
    <w:sig w:usb0="00000000" w:usb1="00000000" w:usb2="00000016" w:usb3="00000000" w:csb0="00040000" w:csb1="00000000"/>
    <w:embedRegular r:id="rId8" w:fontKey="{DF026F8A-E850-44E7-B7C3-035524E8ACB5}"/>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EF49">
    <w:pPr>
      <w:pStyle w:val="11"/>
      <w:rPr>
        <w:rStyle w:val="1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E417A">
                          <w:pPr>
                            <w:pStyle w:val="11"/>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A2E417A">
                    <w:pPr>
                      <w:pStyle w:val="11"/>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DF175">
    <w:pPr>
      <w:pStyle w:val="12"/>
      <w:pBdr>
        <w:bottom w:val="none" w:color="000000" w:sz="0" w:space="1"/>
      </w:pBdr>
      <w:tabs>
        <w:tab w:val="left" w:pos="2148"/>
      </w:tabs>
      <w:jc w:val="left"/>
      <w:rPr>
        <w:rStyle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81617"/>
    <w:multiLevelType w:val="singleLevel"/>
    <w:tmpl w:val="B7381617"/>
    <w:lvl w:ilvl="0" w:tentative="0">
      <w:start w:val="1"/>
      <w:numFmt w:val="chineseCounting"/>
      <w:suff w:val="nothing"/>
      <w:lvlText w:val="（%1）"/>
      <w:lvlJc w:val="left"/>
      <w:rPr>
        <w:rFonts w:hint="eastAsia"/>
      </w:rPr>
    </w:lvl>
  </w:abstractNum>
  <w:abstractNum w:abstractNumId="1">
    <w:nsid w:val="54A4FA50"/>
    <w:multiLevelType w:val="singleLevel"/>
    <w:tmpl w:val="54A4FA5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lN2YzM2JjYWM4NTE4NDBlMzFhOTMyYmQzOTVhNjgifQ=="/>
    <w:docVar w:name="KSO_WPS_MARK_KEY" w:val="523a642b-cd0e-4820-a0c7-0e248c98e7f9"/>
  </w:docVars>
  <w:rsids>
    <w:rsidRoot w:val="001847BD"/>
    <w:rsid w:val="00001C7A"/>
    <w:rsid w:val="00002548"/>
    <w:rsid w:val="000215D2"/>
    <w:rsid w:val="00023317"/>
    <w:rsid w:val="000340A2"/>
    <w:rsid w:val="00040D75"/>
    <w:rsid w:val="00045A7D"/>
    <w:rsid w:val="00055FF7"/>
    <w:rsid w:val="00063CDF"/>
    <w:rsid w:val="00070B25"/>
    <w:rsid w:val="000816C0"/>
    <w:rsid w:val="00086BFD"/>
    <w:rsid w:val="0009014F"/>
    <w:rsid w:val="000924B1"/>
    <w:rsid w:val="0009626A"/>
    <w:rsid w:val="0009797E"/>
    <w:rsid w:val="000A57B4"/>
    <w:rsid w:val="000C191D"/>
    <w:rsid w:val="000C3D9D"/>
    <w:rsid w:val="000D0BBB"/>
    <w:rsid w:val="000D33F4"/>
    <w:rsid w:val="000D385E"/>
    <w:rsid w:val="000D3FE4"/>
    <w:rsid w:val="000E1755"/>
    <w:rsid w:val="000E17AE"/>
    <w:rsid w:val="000E6898"/>
    <w:rsid w:val="000F35A3"/>
    <w:rsid w:val="000F37D1"/>
    <w:rsid w:val="000F6716"/>
    <w:rsid w:val="00100165"/>
    <w:rsid w:val="001159BA"/>
    <w:rsid w:val="00121CD7"/>
    <w:rsid w:val="0013119C"/>
    <w:rsid w:val="00141112"/>
    <w:rsid w:val="00142B2D"/>
    <w:rsid w:val="00146C1B"/>
    <w:rsid w:val="001705A6"/>
    <w:rsid w:val="0017437E"/>
    <w:rsid w:val="00176756"/>
    <w:rsid w:val="00177CDF"/>
    <w:rsid w:val="001800B3"/>
    <w:rsid w:val="001847BD"/>
    <w:rsid w:val="001847F4"/>
    <w:rsid w:val="00191A1F"/>
    <w:rsid w:val="001925E4"/>
    <w:rsid w:val="00195B73"/>
    <w:rsid w:val="001A31AE"/>
    <w:rsid w:val="001A3FFD"/>
    <w:rsid w:val="001A5DF5"/>
    <w:rsid w:val="001B085D"/>
    <w:rsid w:val="001D1897"/>
    <w:rsid w:val="001D4158"/>
    <w:rsid w:val="001D6C19"/>
    <w:rsid w:val="001E010E"/>
    <w:rsid w:val="001E054D"/>
    <w:rsid w:val="001E57EE"/>
    <w:rsid w:val="001E5EBB"/>
    <w:rsid w:val="001E6518"/>
    <w:rsid w:val="001E6F9F"/>
    <w:rsid w:val="001F0FAA"/>
    <w:rsid w:val="00205C33"/>
    <w:rsid w:val="00210360"/>
    <w:rsid w:val="0021120F"/>
    <w:rsid w:val="0021320B"/>
    <w:rsid w:val="00213C8C"/>
    <w:rsid w:val="002149E2"/>
    <w:rsid w:val="00214DCF"/>
    <w:rsid w:val="00215943"/>
    <w:rsid w:val="00222318"/>
    <w:rsid w:val="00223EA9"/>
    <w:rsid w:val="0023521B"/>
    <w:rsid w:val="002404A1"/>
    <w:rsid w:val="00246FE9"/>
    <w:rsid w:val="00247343"/>
    <w:rsid w:val="00247C6E"/>
    <w:rsid w:val="00250F70"/>
    <w:rsid w:val="0025373F"/>
    <w:rsid w:val="00280B49"/>
    <w:rsid w:val="00291CBE"/>
    <w:rsid w:val="00297366"/>
    <w:rsid w:val="002A42E8"/>
    <w:rsid w:val="002A63CC"/>
    <w:rsid w:val="002B1C29"/>
    <w:rsid w:val="002C41D1"/>
    <w:rsid w:val="002C6A72"/>
    <w:rsid w:val="002D26A9"/>
    <w:rsid w:val="002D6967"/>
    <w:rsid w:val="002D744E"/>
    <w:rsid w:val="002E0D7C"/>
    <w:rsid w:val="002E51E9"/>
    <w:rsid w:val="002F4A8E"/>
    <w:rsid w:val="003018FA"/>
    <w:rsid w:val="00303576"/>
    <w:rsid w:val="00303F73"/>
    <w:rsid w:val="00333C74"/>
    <w:rsid w:val="003364AA"/>
    <w:rsid w:val="00340F09"/>
    <w:rsid w:val="003463EE"/>
    <w:rsid w:val="003508E9"/>
    <w:rsid w:val="0035304E"/>
    <w:rsid w:val="00353D88"/>
    <w:rsid w:val="003554AD"/>
    <w:rsid w:val="00357599"/>
    <w:rsid w:val="003606D6"/>
    <w:rsid w:val="00362407"/>
    <w:rsid w:val="00365340"/>
    <w:rsid w:val="00376530"/>
    <w:rsid w:val="00377671"/>
    <w:rsid w:val="00381768"/>
    <w:rsid w:val="00382CFA"/>
    <w:rsid w:val="00387CA5"/>
    <w:rsid w:val="00395055"/>
    <w:rsid w:val="003A0410"/>
    <w:rsid w:val="003A7365"/>
    <w:rsid w:val="003C3DC0"/>
    <w:rsid w:val="003C53BD"/>
    <w:rsid w:val="003C681B"/>
    <w:rsid w:val="003D381D"/>
    <w:rsid w:val="003D58D2"/>
    <w:rsid w:val="003D5F78"/>
    <w:rsid w:val="003E0747"/>
    <w:rsid w:val="003E2084"/>
    <w:rsid w:val="003F05FA"/>
    <w:rsid w:val="003F0852"/>
    <w:rsid w:val="003F2E9B"/>
    <w:rsid w:val="003F65A4"/>
    <w:rsid w:val="004026F3"/>
    <w:rsid w:val="00417723"/>
    <w:rsid w:val="004215DF"/>
    <w:rsid w:val="00426D8D"/>
    <w:rsid w:val="00427415"/>
    <w:rsid w:val="00435C88"/>
    <w:rsid w:val="0044734D"/>
    <w:rsid w:val="00456007"/>
    <w:rsid w:val="0045616E"/>
    <w:rsid w:val="004734CB"/>
    <w:rsid w:val="0047353E"/>
    <w:rsid w:val="00485C8D"/>
    <w:rsid w:val="00490411"/>
    <w:rsid w:val="0049234D"/>
    <w:rsid w:val="00494FFB"/>
    <w:rsid w:val="00496A4C"/>
    <w:rsid w:val="004A0519"/>
    <w:rsid w:val="004A2BA2"/>
    <w:rsid w:val="004A3EFF"/>
    <w:rsid w:val="004B3B56"/>
    <w:rsid w:val="004C63F0"/>
    <w:rsid w:val="004E58CB"/>
    <w:rsid w:val="004E5F47"/>
    <w:rsid w:val="004F1C5E"/>
    <w:rsid w:val="005121DD"/>
    <w:rsid w:val="005173A1"/>
    <w:rsid w:val="00517912"/>
    <w:rsid w:val="00525595"/>
    <w:rsid w:val="0053273D"/>
    <w:rsid w:val="0053439F"/>
    <w:rsid w:val="005405F6"/>
    <w:rsid w:val="00550DDC"/>
    <w:rsid w:val="00563486"/>
    <w:rsid w:val="00563A8B"/>
    <w:rsid w:val="005641D6"/>
    <w:rsid w:val="00573A0C"/>
    <w:rsid w:val="00573E39"/>
    <w:rsid w:val="00574811"/>
    <w:rsid w:val="00575D96"/>
    <w:rsid w:val="00576FF5"/>
    <w:rsid w:val="00577347"/>
    <w:rsid w:val="00577D3E"/>
    <w:rsid w:val="00587089"/>
    <w:rsid w:val="00587E56"/>
    <w:rsid w:val="0059163D"/>
    <w:rsid w:val="00592C05"/>
    <w:rsid w:val="005A0A99"/>
    <w:rsid w:val="005A1D94"/>
    <w:rsid w:val="005A20DF"/>
    <w:rsid w:val="005B1C9E"/>
    <w:rsid w:val="005C5DEC"/>
    <w:rsid w:val="005D2746"/>
    <w:rsid w:val="005D533C"/>
    <w:rsid w:val="005E7B01"/>
    <w:rsid w:val="005F124D"/>
    <w:rsid w:val="005F3DE7"/>
    <w:rsid w:val="00607A57"/>
    <w:rsid w:val="00622584"/>
    <w:rsid w:val="00625319"/>
    <w:rsid w:val="00627D47"/>
    <w:rsid w:val="00630DA7"/>
    <w:rsid w:val="00632DE6"/>
    <w:rsid w:val="00641E25"/>
    <w:rsid w:val="00652028"/>
    <w:rsid w:val="00671BAC"/>
    <w:rsid w:val="00687F57"/>
    <w:rsid w:val="00690471"/>
    <w:rsid w:val="0069107F"/>
    <w:rsid w:val="00691360"/>
    <w:rsid w:val="00693219"/>
    <w:rsid w:val="006A2338"/>
    <w:rsid w:val="006B070F"/>
    <w:rsid w:val="006B38D4"/>
    <w:rsid w:val="006B606B"/>
    <w:rsid w:val="006B7349"/>
    <w:rsid w:val="006C2FE1"/>
    <w:rsid w:val="006D0057"/>
    <w:rsid w:val="006D37DD"/>
    <w:rsid w:val="006E0836"/>
    <w:rsid w:val="006E1DA0"/>
    <w:rsid w:val="006F5837"/>
    <w:rsid w:val="0070298F"/>
    <w:rsid w:val="00706FBF"/>
    <w:rsid w:val="00707865"/>
    <w:rsid w:val="007120CD"/>
    <w:rsid w:val="0072475D"/>
    <w:rsid w:val="0073046D"/>
    <w:rsid w:val="00730477"/>
    <w:rsid w:val="007324ED"/>
    <w:rsid w:val="0073261E"/>
    <w:rsid w:val="0073651D"/>
    <w:rsid w:val="00737114"/>
    <w:rsid w:val="00743FDB"/>
    <w:rsid w:val="00755940"/>
    <w:rsid w:val="0076085B"/>
    <w:rsid w:val="00761A82"/>
    <w:rsid w:val="00761C01"/>
    <w:rsid w:val="00762283"/>
    <w:rsid w:val="007761CB"/>
    <w:rsid w:val="00781E2A"/>
    <w:rsid w:val="0078246A"/>
    <w:rsid w:val="00784315"/>
    <w:rsid w:val="007970A1"/>
    <w:rsid w:val="00797795"/>
    <w:rsid w:val="007A27C4"/>
    <w:rsid w:val="007A6F7A"/>
    <w:rsid w:val="007B21BC"/>
    <w:rsid w:val="007B30D0"/>
    <w:rsid w:val="007B7799"/>
    <w:rsid w:val="007C0120"/>
    <w:rsid w:val="007D204F"/>
    <w:rsid w:val="007E5C61"/>
    <w:rsid w:val="007F3E9A"/>
    <w:rsid w:val="007F729E"/>
    <w:rsid w:val="007F7A27"/>
    <w:rsid w:val="007F7D63"/>
    <w:rsid w:val="00801640"/>
    <w:rsid w:val="00802A1A"/>
    <w:rsid w:val="008058A2"/>
    <w:rsid w:val="0080609E"/>
    <w:rsid w:val="00807F1C"/>
    <w:rsid w:val="00814155"/>
    <w:rsid w:val="00820325"/>
    <w:rsid w:val="00820776"/>
    <w:rsid w:val="008317D0"/>
    <w:rsid w:val="008326BB"/>
    <w:rsid w:val="008474D5"/>
    <w:rsid w:val="008518A6"/>
    <w:rsid w:val="00855594"/>
    <w:rsid w:val="0085732A"/>
    <w:rsid w:val="00864A65"/>
    <w:rsid w:val="00866474"/>
    <w:rsid w:val="008812C6"/>
    <w:rsid w:val="00881349"/>
    <w:rsid w:val="008936D6"/>
    <w:rsid w:val="008941DE"/>
    <w:rsid w:val="0089711C"/>
    <w:rsid w:val="008B3594"/>
    <w:rsid w:val="008B5490"/>
    <w:rsid w:val="008C0F59"/>
    <w:rsid w:val="008C407E"/>
    <w:rsid w:val="008D20CA"/>
    <w:rsid w:val="008D506C"/>
    <w:rsid w:val="008D681B"/>
    <w:rsid w:val="008E4FF4"/>
    <w:rsid w:val="008E7CC1"/>
    <w:rsid w:val="009002C0"/>
    <w:rsid w:val="009008B8"/>
    <w:rsid w:val="009059DB"/>
    <w:rsid w:val="00905CDD"/>
    <w:rsid w:val="00911905"/>
    <w:rsid w:val="009119C9"/>
    <w:rsid w:val="00912016"/>
    <w:rsid w:val="00915DDD"/>
    <w:rsid w:val="00917941"/>
    <w:rsid w:val="009221B4"/>
    <w:rsid w:val="00922A65"/>
    <w:rsid w:val="00927F3B"/>
    <w:rsid w:val="00934FBB"/>
    <w:rsid w:val="0093575D"/>
    <w:rsid w:val="00940F0D"/>
    <w:rsid w:val="00947CB4"/>
    <w:rsid w:val="009564B1"/>
    <w:rsid w:val="0096047E"/>
    <w:rsid w:val="00964A3C"/>
    <w:rsid w:val="00991932"/>
    <w:rsid w:val="00992807"/>
    <w:rsid w:val="00995C5B"/>
    <w:rsid w:val="00996380"/>
    <w:rsid w:val="009A4F1F"/>
    <w:rsid w:val="009A4FB2"/>
    <w:rsid w:val="009A79C1"/>
    <w:rsid w:val="009C336A"/>
    <w:rsid w:val="009C38B3"/>
    <w:rsid w:val="009C5AB3"/>
    <w:rsid w:val="009C63F6"/>
    <w:rsid w:val="009C7A5B"/>
    <w:rsid w:val="009D5635"/>
    <w:rsid w:val="009D7CC9"/>
    <w:rsid w:val="009E0FD9"/>
    <w:rsid w:val="009E1469"/>
    <w:rsid w:val="009F3DD2"/>
    <w:rsid w:val="009F728E"/>
    <w:rsid w:val="00A050EF"/>
    <w:rsid w:val="00A11FD0"/>
    <w:rsid w:val="00A12AB6"/>
    <w:rsid w:val="00A17190"/>
    <w:rsid w:val="00A1791E"/>
    <w:rsid w:val="00A2327B"/>
    <w:rsid w:val="00A23E82"/>
    <w:rsid w:val="00A2535F"/>
    <w:rsid w:val="00A372D4"/>
    <w:rsid w:val="00A5381B"/>
    <w:rsid w:val="00A54CD5"/>
    <w:rsid w:val="00A57DB6"/>
    <w:rsid w:val="00A67D16"/>
    <w:rsid w:val="00A81B2A"/>
    <w:rsid w:val="00A9231F"/>
    <w:rsid w:val="00A92A45"/>
    <w:rsid w:val="00A93105"/>
    <w:rsid w:val="00AA7311"/>
    <w:rsid w:val="00AB299E"/>
    <w:rsid w:val="00AB5021"/>
    <w:rsid w:val="00AB5ADE"/>
    <w:rsid w:val="00AC14C4"/>
    <w:rsid w:val="00AC1689"/>
    <w:rsid w:val="00AC3652"/>
    <w:rsid w:val="00AC37AB"/>
    <w:rsid w:val="00AC58F1"/>
    <w:rsid w:val="00AD518C"/>
    <w:rsid w:val="00AE05C4"/>
    <w:rsid w:val="00AE1068"/>
    <w:rsid w:val="00AE44ED"/>
    <w:rsid w:val="00AE7AEC"/>
    <w:rsid w:val="00AF1959"/>
    <w:rsid w:val="00AF332F"/>
    <w:rsid w:val="00AF52E6"/>
    <w:rsid w:val="00B02416"/>
    <w:rsid w:val="00B02EB0"/>
    <w:rsid w:val="00B17147"/>
    <w:rsid w:val="00B21871"/>
    <w:rsid w:val="00B3133A"/>
    <w:rsid w:val="00B31866"/>
    <w:rsid w:val="00B32044"/>
    <w:rsid w:val="00B35772"/>
    <w:rsid w:val="00B36AF3"/>
    <w:rsid w:val="00B40482"/>
    <w:rsid w:val="00B42F80"/>
    <w:rsid w:val="00B447EC"/>
    <w:rsid w:val="00B54497"/>
    <w:rsid w:val="00B643A0"/>
    <w:rsid w:val="00B66901"/>
    <w:rsid w:val="00B67297"/>
    <w:rsid w:val="00B70EAA"/>
    <w:rsid w:val="00B915E9"/>
    <w:rsid w:val="00B925E4"/>
    <w:rsid w:val="00BB0A4B"/>
    <w:rsid w:val="00BB2781"/>
    <w:rsid w:val="00BB2D54"/>
    <w:rsid w:val="00BC25DF"/>
    <w:rsid w:val="00BC45CA"/>
    <w:rsid w:val="00BC6192"/>
    <w:rsid w:val="00BD6A7F"/>
    <w:rsid w:val="00BD79E3"/>
    <w:rsid w:val="00BE2072"/>
    <w:rsid w:val="00BE3A56"/>
    <w:rsid w:val="00BE7A1F"/>
    <w:rsid w:val="00BF133C"/>
    <w:rsid w:val="00C00436"/>
    <w:rsid w:val="00C00BA4"/>
    <w:rsid w:val="00C0495C"/>
    <w:rsid w:val="00C04B83"/>
    <w:rsid w:val="00C06767"/>
    <w:rsid w:val="00C10269"/>
    <w:rsid w:val="00C2369B"/>
    <w:rsid w:val="00C275D6"/>
    <w:rsid w:val="00C3225D"/>
    <w:rsid w:val="00C33032"/>
    <w:rsid w:val="00C35305"/>
    <w:rsid w:val="00C36580"/>
    <w:rsid w:val="00C37537"/>
    <w:rsid w:val="00C4491B"/>
    <w:rsid w:val="00C44A6C"/>
    <w:rsid w:val="00C4519B"/>
    <w:rsid w:val="00C50469"/>
    <w:rsid w:val="00C52139"/>
    <w:rsid w:val="00C555AB"/>
    <w:rsid w:val="00C6339A"/>
    <w:rsid w:val="00C633EC"/>
    <w:rsid w:val="00C67F96"/>
    <w:rsid w:val="00C801B1"/>
    <w:rsid w:val="00C91944"/>
    <w:rsid w:val="00C91CDD"/>
    <w:rsid w:val="00C9710C"/>
    <w:rsid w:val="00CA404A"/>
    <w:rsid w:val="00CA48D1"/>
    <w:rsid w:val="00CB2674"/>
    <w:rsid w:val="00CB304E"/>
    <w:rsid w:val="00CB470E"/>
    <w:rsid w:val="00CC059A"/>
    <w:rsid w:val="00CC1EE3"/>
    <w:rsid w:val="00CC533F"/>
    <w:rsid w:val="00CC73D2"/>
    <w:rsid w:val="00CD09C8"/>
    <w:rsid w:val="00CD0CE6"/>
    <w:rsid w:val="00CD18B7"/>
    <w:rsid w:val="00CD6D80"/>
    <w:rsid w:val="00CF692D"/>
    <w:rsid w:val="00D01911"/>
    <w:rsid w:val="00D06058"/>
    <w:rsid w:val="00D12135"/>
    <w:rsid w:val="00D16A7C"/>
    <w:rsid w:val="00D21A1A"/>
    <w:rsid w:val="00D21E28"/>
    <w:rsid w:val="00D251A7"/>
    <w:rsid w:val="00D37EAA"/>
    <w:rsid w:val="00D406A1"/>
    <w:rsid w:val="00D4075B"/>
    <w:rsid w:val="00D4234E"/>
    <w:rsid w:val="00D43519"/>
    <w:rsid w:val="00D448F2"/>
    <w:rsid w:val="00D46E49"/>
    <w:rsid w:val="00D60507"/>
    <w:rsid w:val="00D6465E"/>
    <w:rsid w:val="00D74CFE"/>
    <w:rsid w:val="00D7699B"/>
    <w:rsid w:val="00D7779F"/>
    <w:rsid w:val="00D8143D"/>
    <w:rsid w:val="00D83BA7"/>
    <w:rsid w:val="00D946C9"/>
    <w:rsid w:val="00DA42B7"/>
    <w:rsid w:val="00DB16AC"/>
    <w:rsid w:val="00DB232B"/>
    <w:rsid w:val="00DC7C5D"/>
    <w:rsid w:val="00DD0D61"/>
    <w:rsid w:val="00DD307E"/>
    <w:rsid w:val="00DE5E38"/>
    <w:rsid w:val="00DE6F34"/>
    <w:rsid w:val="00DF1712"/>
    <w:rsid w:val="00DF29A1"/>
    <w:rsid w:val="00DF2C74"/>
    <w:rsid w:val="00DF38D5"/>
    <w:rsid w:val="00DF3E5D"/>
    <w:rsid w:val="00E025EC"/>
    <w:rsid w:val="00E050FD"/>
    <w:rsid w:val="00E05C99"/>
    <w:rsid w:val="00E13CDB"/>
    <w:rsid w:val="00E245B5"/>
    <w:rsid w:val="00E27DBE"/>
    <w:rsid w:val="00E27ED6"/>
    <w:rsid w:val="00E30208"/>
    <w:rsid w:val="00E31F44"/>
    <w:rsid w:val="00E37586"/>
    <w:rsid w:val="00E40FFE"/>
    <w:rsid w:val="00E54870"/>
    <w:rsid w:val="00E62217"/>
    <w:rsid w:val="00E76DC4"/>
    <w:rsid w:val="00E8619A"/>
    <w:rsid w:val="00E869C3"/>
    <w:rsid w:val="00E93CCE"/>
    <w:rsid w:val="00E94D12"/>
    <w:rsid w:val="00EB0DF8"/>
    <w:rsid w:val="00EC0CDF"/>
    <w:rsid w:val="00EC26A1"/>
    <w:rsid w:val="00EC4520"/>
    <w:rsid w:val="00ED16D7"/>
    <w:rsid w:val="00EF07C8"/>
    <w:rsid w:val="00EF0937"/>
    <w:rsid w:val="00EF414F"/>
    <w:rsid w:val="00EF4895"/>
    <w:rsid w:val="00EF509D"/>
    <w:rsid w:val="00F04685"/>
    <w:rsid w:val="00F108D0"/>
    <w:rsid w:val="00F12B93"/>
    <w:rsid w:val="00F23A3F"/>
    <w:rsid w:val="00F3012F"/>
    <w:rsid w:val="00F30BA3"/>
    <w:rsid w:val="00F32181"/>
    <w:rsid w:val="00F32549"/>
    <w:rsid w:val="00F37129"/>
    <w:rsid w:val="00F46BB5"/>
    <w:rsid w:val="00F46D9C"/>
    <w:rsid w:val="00F56CDE"/>
    <w:rsid w:val="00F56EAA"/>
    <w:rsid w:val="00F72ABD"/>
    <w:rsid w:val="00F92EA3"/>
    <w:rsid w:val="00F960CC"/>
    <w:rsid w:val="00FA0EBE"/>
    <w:rsid w:val="00FA24A8"/>
    <w:rsid w:val="00FA62EB"/>
    <w:rsid w:val="00FB4B86"/>
    <w:rsid w:val="00FB4BC0"/>
    <w:rsid w:val="00FC2C4B"/>
    <w:rsid w:val="00FD3AD2"/>
    <w:rsid w:val="00FD4937"/>
    <w:rsid w:val="00FE0013"/>
    <w:rsid w:val="00FE2C24"/>
    <w:rsid w:val="00FF0522"/>
    <w:rsid w:val="00FF2A82"/>
    <w:rsid w:val="00FF3F59"/>
    <w:rsid w:val="00FF5E54"/>
    <w:rsid w:val="01233A9E"/>
    <w:rsid w:val="012959E1"/>
    <w:rsid w:val="0136557F"/>
    <w:rsid w:val="016A5229"/>
    <w:rsid w:val="01BF37C7"/>
    <w:rsid w:val="01D542D8"/>
    <w:rsid w:val="022767E5"/>
    <w:rsid w:val="026C4FD1"/>
    <w:rsid w:val="02870D6F"/>
    <w:rsid w:val="029167E5"/>
    <w:rsid w:val="029C3B08"/>
    <w:rsid w:val="02AB3D4B"/>
    <w:rsid w:val="02AB78A7"/>
    <w:rsid w:val="02EA1685"/>
    <w:rsid w:val="0300229C"/>
    <w:rsid w:val="030B6598"/>
    <w:rsid w:val="032103AA"/>
    <w:rsid w:val="03384240"/>
    <w:rsid w:val="036839EA"/>
    <w:rsid w:val="036F2FCB"/>
    <w:rsid w:val="03716D43"/>
    <w:rsid w:val="03764359"/>
    <w:rsid w:val="03795BF7"/>
    <w:rsid w:val="03AA5DB1"/>
    <w:rsid w:val="03C2759E"/>
    <w:rsid w:val="042D15DF"/>
    <w:rsid w:val="044E0E32"/>
    <w:rsid w:val="04844854"/>
    <w:rsid w:val="04DF7CDC"/>
    <w:rsid w:val="04E470A0"/>
    <w:rsid w:val="05263B5D"/>
    <w:rsid w:val="05354556"/>
    <w:rsid w:val="05357E97"/>
    <w:rsid w:val="056B1570"/>
    <w:rsid w:val="05AB0E6E"/>
    <w:rsid w:val="05CB200E"/>
    <w:rsid w:val="05D67331"/>
    <w:rsid w:val="05F17CC7"/>
    <w:rsid w:val="060A6FDB"/>
    <w:rsid w:val="06420522"/>
    <w:rsid w:val="066B3086"/>
    <w:rsid w:val="067C55F9"/>
    <w:rsid w:val="0680729D"/>
    <w:rsid w:val="068C79F0"/>
    <w:rsid w:val="06914D5D"/>
    <w:rsid w:val="06EC7209"/>
    <w:rsid w:val="06F832D7"/>
    <w:rsid w:val="074E6568"/>
    <w:rsid w:val="07B13BB2"/>
    <w:rsid w:val="07B90CB8"/>
    <w:rsid w:val="07C733D5"/>
    <w:rsid w:val="07F12200"/>
    <w:rsid w:val="087846CF"/>
    <w:rsid w:val="087862AB"/>
    <w:rsid w:val="089B30F6"/>
    <w:rsid w:val="089D19CE"/>
    <w:rsid w:val="08BD20E2"/>
    <w:rsid w:val="08C43471"/>
    <w:rsid w:val="08DA2C94"/>
    <w:rsid w:val="08ED0576"/>
    <w:rsid w:val="091918BE"/>
    <w:rsid w:val="096802A0"/>
    <w:rsid w:val="09DC0C8E"/>
    <w:rsid w:val="0A122B87"/>
    <w:rsid w:val="0A1B17B6"/>
    <w:rsid w:val="0A2148F3"/>
    <w:rsid w:val="0A4047F0"/>
    <w:rsid w:val="0A4D7496"/>
    <w:rsid w:val="0A4F320E"/>
    <w:rsid w:val="0A540824"/>
    <w:rsid w:val="0A544CC8"/>
    <w:rsid w:val="0A6F1B02"/>
    <w:rsid w:val="0A7D421F"/>
    <w:rsid w:val="0A835915"/>
    <w:rsid w:val="0A8936B5"/>
    <w:rsid w:val="0A97095F"/>
    <w:rsid w:val="0ABD0ABF"/>
    <w:rsid w:val="0AFB08DB"/>
    <w:rsid w:val="0B435A06"/>
    <w:rsid w:val="0B582596"/>
    <w:rsid w:val="0B626F71"/>
    <w:rsid w:val="0BAD28E2"/>
    <w:rsid w:val="0BAE4C9F"/>
    <w:rsid w:val="0BF95B27"/>
    <w:rsid w:val="0C41302A"/>
    <w:rsid w:val="0C4274CE"/>
    <w:rsid w:val="0C50423D"/>
    <w:rsid w:val="0C7A5AB1"/>
    <w:rsid w:val="0CA61EE9"/>
    <w:rsid w:val="0CCA74C4"/>
    <w:rsid w:val="0CEE0318"/>
    <w:rsid w:val="0CF32576"/>
    <w:rsid w:val="0CF61798"/>
    <w:rsid w:val="0D0539CE"/>
    <w:rsid w:val="0D5F19BA"/>
    <w:rsid w:val="0D74516E"/>
    <w:rsid w:val="0DDC125D"/>
    <w:rsid w:val="0E0367E9"/>
    <w:rsid w:val="0E0D1416"/>
    <w:rsid w:val="0E214EC1"/>
    <w:rsid w:val="0E230C39"/>
    <w:rsid w:val="0E2A021A"/>
    <w:rsid w:val="0EA0228A"/>
    <w:rsid w:val="0EBC4BEA"/>
    <w:rsid w:val="0EE1421A"/>
    <w:rsid w:val="0F052A35"/>
    <w:rsid w:val="0F7B6853"/>
    <w:rsid w:val="0FA70DD6"/>
    <w:rsid w:val="0FB21924"/>
    <w:rsid w:val="0FC8009B"/>
    <w:rsid w:val="0FCC70AF"/>
    <w:rsid w:val="0FE32D76"/>
    <w:rsid w:val="10214EB6"/>
    <w:rsid w:val="102A2ED3"/>
    <w:rsid w:val="106146BC"/>
    <w:rsid w:val="10861954"/>
    <w:rsid w:val="108D2D1D"/>
    <w:rsid w:val="10BD35C7"/>
    <w:rsid w:val="114F1D45"/>
    <w:rsid w:val="11625F1D"/>
    <w:rsid w:val="117153F0"/>
    <w:rsid w:val="11A20BB7"/>
    <w:rsid w:val="11B03E46"/>
    <w:rsid w:val="11D45B37"/>
    <w:rsid w:val="122D02D9"/>
    <w:rsid w:val="123E2048"/>
    <w:rsid w:val="12753A2E"/>
    <w:rsid w:val="129A4C74"/>
    <w:rsid w:val="12A10CC7"/>
    <w:rsid w:val="12BE5A19"/>
    <w:rsid w:val="12C549B5"/>
    <w:rsid w:val="12D70244"/>
    <w:rsid w:val="12F40DF6"/>
    <w:rsid w:val="13352004"/>
    <w:rsid w:val="13385D06"/>
    <w:rsid w:val="13AF2A85"/>
    <w:rsid w:val="13BD38DE"/>
    <w:rsid w:val="14014E1F"/>
    <w:rsid w:val="144A3C3C"/>
    <w:rsid w:val="147541B9"/>
    <w:rsid w:val="147C265E"/>
    <w:rsid w:val="149F2FE4"/>
    <w:rsid w:val="14B33909"/>
    <w:rsid w:val="14C03686"/>
    <w:rsid w:val="14CD5DA3"/>
    <w:rsid w:val="15681628"/>
    <w:rsid w:val="157101E2"/>
    <w:rsid w:val="1584492D"/>
    <w:rsid w:val="15875F52"/>
    <w:rsid w:val="15943662"/>
    <w:rsid w:val="15963E4E"/>
    <w:rsid w:val="16113A6D"/>
    <w:rsid w:val="16227A29"/>
    <w:rsid w:val="16247C45"/>
    <w:rsid w:val="16493207"/>
    <w:rsid w:val="165444BB"/>
    <w:rsid w:val="1663076D"/>
    <w:rsid w:val="16A9014A"/>
    <w:rsid w:val="16D8458B"/>
    <w:rsid w:val="16E41182"/>
    <w:rsid w:val="16EC6BE5"/>
    <w:rsid w:val="170A0DB1"/>
    <w:rsid w:val="172B0B5F"/>
    <w:rsid w:val="175C48F5"/>
    <w:rsid w:val="17982698"/>
    <w:rsid w:val="17E27854"/>
    <w:rsid w:val="18406EB2"/>
    <w:rsid w:val="184408DC"/>
    <w:rsid w:val="18CB5C9D"/>
    <w:rsid w:val="18D314AE"/>
    <w:rsid w:val="18E15248"/>
    <w:rsid w:val="195720DF"/>
    <w:rsid w:val="19706CFD"/>
    <w:rsid w:val="19747C2B"/>
    <w:rsid w:val="199C3861"/>
    <w:rsid w:val="19A76BC3"/>
    <w:rsid w:val="19E73463"/>
    <w:rsid w:val="1A0E4DDB"/>
    <w:rsid w:val="1A253F8B"/>
    <w:rsid w:val="1A3A357D"/>
    <w:rsid w:val="1A7D474F"/>
    <w:rsid w:val="1AA255DC"/>
    <w:rsid w:val="1ABF618E"/>
    <w:rsid w:val="1ACE28E7"/>
    <w:rsid w:val="1AEF16E9"/>
    <w:rsid w:val="1B4641B9"/>
    <w:rsid w:val="1BA64C58"/>
    <w:rsid w:val="1BDB7C9C"/>
    <w:rsid w:val="1BED2272"/>
    <w:rsid w:val="1C2C33AF"/>
    <w:rsid w:val="1C817A18"/>
    <w:rsid w:val="1C9072D5"/>
    <w:rsid w:val="1CEC2B3E"/>
    <w:rsid w:val="1CEE68B6"/>
    <w:rsid w:val="1D134793"/>
    <w:rsid w:val="1D2247B2"/>
    <w:rsid w:val="1D45200A"/>
    <w:rsid w:val="1D7E637D"/>
    <w:rsid w:val="1D8D60D5"/>
    <w:rsid w:val="1DC87107"/>
    <w:rsid w:val="1DFC7B7C"/>
    <w:rsid w:val="1E09705D"/>
    <w:rsid w:val="1E18008F"/>
    <w:rsid w:val="1E214A6A"/>
    <w:rsid w:val="1E336153"/>
    <w:rsid w:val="1E4E72F2"/>
    <w:rsid w:val="1EA65B8E"/>
    <w:rsid w:val="1F240CB5"/>
    <w:rsid w:val="1F5E18B8"/>
    <w:rsid w:val="1FA92F69"/>
    <w:rsid w:val="1FF3247E"/>
    <w:rsid w:val="207C48B2"/>
    <w:rsid w:val="209B0B03"/>
    <w:rsid w:val="20C938C2"/>
    <w:rsid w:val="20E24984"/>
    <w:rsid w:val="211865F8"/>
    <w:rsid w:val="212B0C73"/>
    <w:rsid w:val="21507B40"/>
    <w:rsid w:val="215E5D78"/>
    <w:rsid w:val="2172663E"/>
    <w:rsid w:val="219A0DBB"/>
    <w:rsid w:val="219E6AFD"/>
    <w:rsid w:val="21C818E1"/>
    <w:rsid w:val="21CC5FE5"/>
    <w:rsid w:val="21D97B35"/>
    <w:rsid w:val="21F16EFC"/>
    <w:rsid w:val="21F4671D"/>
    <w:rsid w:val="21F83722"/>
    <w:rsid w:val="22235254"/>
    <w:rsid w:val="22421B7E"/>
    <w:rsid w:val="2272523D"/>
    <w:rsid w:val="229E48DB"/>
    <w:rsid w:val="22BD694F"/>
    <w:rsid w:val="22DB5B2F"/>
    <w:rsid w:val="22EB3FC4"/>
    <w:rsid w:val="23452FA8"/>
    <w:rsid w:val="23490CEA"/>
    <w:rsid w:val="23494AF4"/>
    <w:rsid w:val="2366189C"/>
    <w:rsid w:val="2375388E"/>
    <w:rsid w:val="237A5348"/>
    <w:rsid w:val="237A55F9"/>
    <w:rsid w:val="23A60E0B"/>
    <w:rsid w:val="23AB4FC7"/>
    <w:rsid w:val="23D23256"/>
    <w:rsid w:val="23D902C0"/>
    <w:rsid w:val="240C282C"/>
    <w:rsid w:val="242905FB"/>
    <w:rsid w:val="245A2A83"/>
    <w:rsid w:val="24A3442A"/>
    <w:rsid w:val="25583467"/>
    <w:rsid w:val="25B05051"/>
    <w:rsid w:val="25D16D75"/>
    <w:rsid w:val="25D30D3F"/>
    <w:rsid w:val="25F36015"/>
    <w:rsid w:val="260E2224"/>
    <w:rsid w:val="26157DBD"/>
    <w:rsid w:val="26461511"/>
    <w:rsid w:val="26F64CE5"/>
    <w:rsid w:val="270B1885"/>
    <w:rsid w:val="27463F98"/>
    <w:rsid w:val="27826579"/>
    <w:rsid w:val="279956F1"/>
    <w:rsid w:val="27BD3A55"/>
    <w:rsid w:val="281429CC"/>
    <w:rsid w:val="28665E9B"/>
    <w:rsid w:val="28CB3F50"/>
    <w:rsid w:val="28DA1BB1"/>
    <w:rsid w:val="28FE2577"/>
    <w:rsid w:val="29051210"/>
    <w:rsid w:val="290A2CCA"/>
    <w:rsid w:val="292F44DF"/>
    <w:rsid w:val="29A07CFE"/>
    <w:rsid w:val="29C81A23"/>
    <w:rsid w:val="2A4C3E6E"/>
    <w:rsid w:val="2A863F65"/>
    <w:rsid w:val="2AC754C9"/>
    <w:rsid w:val="2AC911C0"/>
    <w:rsid w:val="2B0D7E12"/>
    <w:rsid w:val="2B141BDE"/>
    <w:rsid w:val="2B33475A"/>
    <w:rsid w:val="2B4F2C16"/>
    <w:rsid w:val="2B6F2DD8"/>
    <w:rsid w:val="2B82123D"/>
    <w:rsid w:val="2B9B3844"/>
    <w:rsid w:val="2B9E594C"/>
    <w:rsid w:val="2BD61589"/>
    <w:rsid w:val="2BDF59DA"/>
    <w:rsid w:val="2C0C4FAB"/>
    <w:rsid w:val="2C7F39CF"/>
    <w:rsid w:val="2CC627D9"/>
    <w:rsid w:val="2CDE06F5"/>
    <w:rsid w:val="2CE455E0"/>
    <w:rsid w:val="2D1E6D44"/>
    <w:rsid w:val="2D5664DE"/>
    <w:rsid w:val="2D9E7E85"/>
    <w:rsid w:val="2DAE631A"/>
    <w:rsid w:val="2DBE22D5"/>
    <w:rsid w:val="2DE27D71"/>
    <w:rsid w:val="2E1A575D"/>
    <w:rsid w:val="2E2F6D2F"/>
    <w:rsid w:val="2E884DBD"/>
    <w:rsid w:val="2E8F3EF8"/>
    <w:rsid w:val="2F3F2FA2"/>
    <w:rsid w:val="2F436F36"/>
    <w:rsid w:val="2F6A5395"/>
    <w:rsid w:val="2F721FF0"/>
    <w:rsid w:val="2F73094B"/>
    <w:rsid w:val="2F740E9D"/>
    <w:rsid w:val="2F8530AA"/>
    <w:rsid w:val="2FA53940"/>
    <w:rsid w:val="2FB60CD0"/>
    <w:rsid w:val="301306B6"/>
    <w:rsid w:val="30377D08"/>
    <w:rsid w:val="30C23E8A"/>
    <w:rsid w:val="30CE0A81"/>
    <w:rsid w:val="30DD0CC4"/>
    <w:rsid w:val="30ED7159"/>
    <w:rsid w:val="30EE04FB"/>
    <w:rsid w:val="30F76A23"/>
    <w:rsid w:val="30FA1876"/>
    <w:rsid w:val="30FA7AC8"/>
    <w:rsid w:val="314516B8"/>
    <w:rsid w:val="314A45AB"/>
    <w:rsid w:val="314B0324"/>
    <w:rsid w:val="315E0057"/>
    <w:rsid w:val="31653193"/>
    <w:rsid w:val="31975317"/>
    <w:rsid w:val="31B934DF"/>
    <w:rsid w:val="31E3055C"/>
    <w:rsid w:val="31EC7411"/>
    <w:rsid w:val="32004C6A"/>
    <w:rsid w:val="32055D2D"/>
    <w:rsid w:val="32312FBD"/>
    <w:rsid w:val="3291620A"/>
    <w:rsid w:val="33105381"/>
    <w:rsid w:val="336F654B"/>
    <w:rsid w:val="339A2E9C"/>
    <w:rsid w:val="33A361F5"/>
    <w:rsid w:val="33F82EA7"/>
    <w:rsid w:val="340C5D5D"/>
    <w:rsid w:val="34132ED6"/>
    <w:rsid w:val="342C6EA9"/>
    <w:rsid w:val="343706EB"/>
    <w:rsid w:val="343B7C26"/>
    <w:rsid w:val="343C1080"/>
    <w:rsid w:val="34533777"/>
    <w:rsid w:val="345A7293"/>
    <w:rsid w:val="345B087E"/>
    <w:rsid w:val="346C65E7"/>
    <w:rsid w:val="34721250"/>
    <w:rsid w:val="34967B08"/>
    <w:rsid w:val="34AE4E51"/>
    <w:rsid w:val="34C226AB"/>
    <w:rsid w:val="34F943C4"/>
    <w:rsid w:val="35156C7E"/>
    <w:rsid w:val="353A66E5"/>
    <w:rsid w:val="353D7F83"/>
    <w:rsid w:val="35466E38"/>
    <w:rsid w:val="354B6B44"/>
    <w:rsid w:val="35636A4D"/>
    <w:rsid w:val="356E1E42"/>
    <w:rsid w:val="35B71AE4"/>
    <w:rsid w:val="36527A5E"/>
    <w:rsid w:val="366A2FFA"/>
    <w:rsid w:val="369F05F6"/>
    <w:rsid w:val="36AF1A27"/>
    <w:rsid w:val="37411FAD"/>
    <w:rsid w:val="374878DC"/>
    <w:rsid w:val="377717BE"/>
    <w:rsid w:val="37C93697"/>
    <w:rsid w:val="37EB6C84"/>
    <w:rsid w:val="37FB0978"/>
    <w:rsid w:val="3815071F"/>
    <w:rsid w:val="3823184E"/>
    <w:rsid w:val="382B6626"/>
    <w:rsid w:val="383F1A19"/>
    <w:rsid w:val="385775AE"/>
    <w:rsid w:val="38AB7EEC"/>
    <w:rsid w:val="38CA4224"/>
    <w:rsid w:val="38CD4195"/>
    <w:rsid w:val="39C320FA"/>
    <w:rsid w:val="39E41223"/>
    <w:rsid w:val="39FF3A59"/>
    <w:rsid w:val="3A176FF5"/>
    <w:rsid w:val="3A3E6C77"/>
    <w:rsid w:val="3A444C3D"/>
    <w:rsid w:val="3A543376"/>
    <w:rsid w:val="3A864DA4"/>
    <w:rsid w:val="3AB46F3A"/>
    <w:rsid w:val="3B274732"/>
    <w:rsid w:val="3B3F4A55"/>
    <w:rsid w:val="3B611F9B"/>
    <w:rsid w:val="3B822B94"/>
    <w:rsid w:val="3BA8315F"/>
    <w:rsid w:val="3BC82C9D"/>
    <w:rsid w:val="3BDC22A4"/>
    <w:rsid w:val="3C157564"/>
    <w:rsid w:val="3C3A346E"/>
    <w:rsid w:val="3C780EB3"/>
    <w:rsid w:val="3CF25AF7"/>
    <w:rsid w:val="3D05180D"/>
    <w:rsid w:val="3DD671C7"/>
    <w:rsid w:val="3E6F015A"/>
    <w:rsid w:val="3E7359C2"/>
    <w:rsid w:val="3E9A366A"/>
    <w:rsid w:val="3EC11C25"/>
    <w:rsid w:val="3EC6319D"/>
    <w:rsid w:val="3EEB0A50"/>
    <w:rsid w:val="3F0833B0"/>
    <w:rsid w:val="3F41451A"/>
    <w:rsid w:val="3FEC2CD2"/>
    <w:rsid w:val="400D6F13"/>
    <w:rsid w:val="404B5C4A"/>
    <w:rsid w:val="40B76E3C"/>
    <w:rsid w:val="40C63523"/>
    <w:rsid w:val="40E63BC5"/>
    <w:rsid w:val="40F938F8"/>
    <w:rsid w:val="40FA4F7A"/>
    <w:rsid w:val="40FB141E"/>
    <w:rsid w:val="413F221D"/>
    <w:rsid w:val="41AC096A"/>
    <w:rsid w:val="41D13F2D"/>
    <w:rsid w:val="4202058A"/>
    <w:rsid w:val="420C3BEB"/>
    <w:rsid w:val="420E6F2F"/>
    <w:rsid w:val="421502BE"/>
    <w:rsid w:val="421505A5"/>
    <w:rsid w:val="424C7A58"/>
    <w:rsid w:val="42703746"/>
    <w:rsid w:val="429338D8"/>
    <w:rsid w:val="42B06238"/>
    <w:rsid w:val="42B64D5E"/>
    <w:rsid w:val="437731E8"/>
    <w:rsid w:val="43CC0E50"/>
    <w:rsid w:val="43E066A9"/>
    <w:rsid w:val="43E30B82"/>
    <w:rsid w:val="43F90D70"/>
    <w:rsid w:val="44627A06"/>
    <w:rsid w:val="44B1641A"/>
    <w:rsid w:val="44CC3306"/>
    <w:rsid w:val="44FC5765"/>
    <w:rsid w:val="454113CA"/>
    <w:rsid w:val="45D109A0"/>
    <w:rsid w:val="45E00A7B"/>
    <w:rsid w:val="460C12B3"/>
    <w:rsid w:val="46347993"/>
    <w:rsid w:val="465F5FAB"/>
    <w:rsid w:val="4669507C"/>
    <w:rsid w:val="467408EF"/>
    <w:rsid w:val="469804F9"/>
    <w:rsid w:val="469C7200"/>
    <w:rsid w:val="47126610"/>
    <w:rsid w:val="4734568A"/>
    <w:rsid w:val="47760EB6"/>
    <w:rsid w:val="47C45875"/>
    <w:rsid w:val="47CE3F01"/>
    <w:rsid w:val="47D12ED9"/>
    <w:rsid w:val="47D41231"/>
    <w:rsid w:val="47D76015"/>
    <w:rsid w:val="48001890"/>
    <w:rsid w:val="48403BBB"/>
    <w:rsid w:val="48655DBD"/>
    <w:rsid w:val="489A776F"/>
    <w:rsid w:val="48B06F92"/>
    <w:rsid w:val="48D32C81"/>
    <w:rsid w:val="48DA5DBD"/>
    <w:rsid w:val="49050E98"/>
    <w:rsid w:val="49AA74C6"/>
    <w:rsid w:val="49C73BF8"/>
    <w:rsid w:val="49F41101"/>
    <w:rsid w:val="49F42EAF"/>
    <w:rsid w:val="4A2E73B2"/>
    <w:rsid w:val="4A462E1D"/>
    <w:rsid w:val="4A4C2CEB"/>
    <w:rsid w:val="4A6F1C0D"/>
    <w:rsid w:val="4A711076"/>
    <w:rsid w:val="4A851D59"/>
    <w:rsid w:val="4A8C27BB"/>
    <w:rsid w:val="4A8F0711"/>
    <w:rsid w:val="4AAD3AE7"/>
    <w:rsid w:val="4AC705C3"/>
    <w:rsid w:val="4ACC5E81"/>
    <w:rsid w:val="4ACF1226"/>
    <w:rsid w:val="4AE01685"/>
    <w:rsid w:val="4B0610EB"/>
    <w:rsid w:val="4B1A4B97"/>
    <w:rsid w:val="4B502367"/>
    <w:rsid w:val="4B527136"/>
    <w:rsid w:val="4B62209A"/>
    <w:rsid w:val="4B6422B6"/>
    <w:rsid w:val="4BB87F0C"/>
    <w:rsid w:val="4BEB5D8D"/>
    <w:rsid w:val="4C18564E"/>
    <w:rsid w:val="4C481290"/>
    <w:rsid w:val="4C8D6D3F"/>
    <w:rsid w:val="4CA010CC"/>
    <w:rsid w:val="4CD55219"/>
    <w:rsid w:val="4CE53AF9"/>
    <w:rsid w:val="4D0A0CFE"/>
    <w:rsid w:val="4D2E66D8"/>
    <w:rsid w:val="4D3442E8"/>
    <w:rsid w:val="4D4E0B28"/>
    <w:rsid w:val="4D6C0776"/>
    <w:rsid w:val="4D917A23"/>
    <w:rsid w:val="4D957DD1"/>
    <w:rsid w:val="4DBA7F6B"/>
    <w:rsid w:val="4E54216E"/>
    <w:rsid w:val="4E546612"/>
    <w:rsid w:val="4E8C5DAC"/>
    <w:rsid w:val="4EC54874"/>
    <w:rsid w:val="4ECC61A8"/>
    <w:rsid w:val="4EEF1E97"/>
    <w:rsid w:val="4F2A7668"/>
    <w:rsid w:val="4F304989"/>
    <w:rsid w:val="4F8D078A"/>
    <w:rsid w:val="50291AD4"/>
    <w:rsid w:val="50371D47"/>
    <w:rsid w:val="504C5A85"/>
    <w:rsid w:val="504D50C7"/>
    <w:rsid w:val="50BC3FFA"/>
    <w:rsid w:val="50D51D5C"/>
    <w:rsid w:val="50E145D8"/>
    <w:rsid w:val="50EA0B67"/>
    <w:rsid w:val="51923598"/>
    <w:rsid w:val="51B03B5F"/>
    <w:rsid w:val="51B11685"/>
    <w:rsid w:val="51BD44CE"/>
    <w:rsid w:val="524E5126"/>
    <w:rsid w:val="534F4CF2"/>
    <w:rsid w:val="53500799"/>
    <w:rsid w:val="536C1CB7"/>
    <w:rsid w:val="539C7041"/>
    <w:rsid w:val="539E5522"/>
    <w:rsid w:val="53AF2DC7"/>
    <w:rsid w:val="53DF065C"/>
    <w:rsid w:val="543A0058"/>
    <w:rsid w:val="54492049"/>
    <w:rsid w:val="545209E5"/>
    <w:rsid w:val="54613836"/>
    <w:rsid w:val="54FA118F"/>
    <w:rsid w:val="55314FB7"/>
    <w:rsid w:val="553E0050"/>
    <w:rsid w:val="558604A2"/>
    <w:rsid w:val="55AC6D33"/>
    <w:rsid w:val="55B437E3"/>
    <w:rsid w:val="55D6014F"/>
    <w:rsid w:val="56365149"/>
    <w:rsid w:val="563F54B2"/>
    <w:rsid w:val="56464AC4"/>
    <w:rsid w:val="56B518AB"/>
    <w:rsid w:val="56E668ED"/>
    <w:rsid w:val="57392849"/>
    <w:rsid w:val="575B631B"/>
    <w:rsid w:val="57831D16"/>
    <w:rsid w:val="578A7989"/>
    <w:rsid w:val="579105CB"/>
    <w:rsid w:val="57CE2F91"/>
    <w:rsid w:val="5814471C"/>
    <w:rsid w:val="586532CF"/>
    <w:rsid w:val="586C0B52"/>
    <w:rsid w:val="58AC5DCD"/>
    <w:rsid w:val="58F24A5D"/>
    <w:rsid w:val="58F8017A"/>
    <w:rsid w:val="59030A18"/>
    <w:rsid w:val="59101387"/>
    <w:rsid w:val="59257D2E"/>
    <w:rsid w:val="593E7CA2"/>
    <w:rsid w:val="59676AD6"/>
    <w:rsid w:val="59890BBA"/>
    <w:rsid w:val="59F111B9"/>
    <w:rsid w:val="5A236E98"/>
    <w:rsid w:val="5A2C282C"/>
    <w:rsid w:val="5A6A0EB6"/>
    <w:rsid w:val="5AD20FEA"/>
    <w:rsid w:val="5B123195"/>
    <w:rsid w:val="5B637E94"/>
    <w:rsid w:val="5B745BFD"/>
    <w:rsid w:val="5BAD7D2F"/>
    <w:rsid w:val="5C4C4ACD"/>
    <w:rsid w:val="5C8005D2"/>
    <w:rsid w:val="5CE40B61"/>
    <w:rsid w:val="5D0134C1"/>
    <w:rsid w:val="5D172A6B"/>
    <w:rsid w:val="5D2D69AC"/>
    <w:rsid w:val="5D450234"/>
    <w:rsid w:val="5D516398"/>
    <w:rsid w:val="5D7A3273"/>
    <w:rsid w:val="5D9B3C7D"/>
    <w:rsid w:val="5E0A0A9B"/>
    <w:rsid w:val="5E84084D"/>
    <w:rsid w:val="5EB6652D"/>
    <w:rsid w:val="5ECE3876"/>
    <w:rsid w:val="5EFE49F8"/>
    <w:rsid w:val="5F406BC8"/>
    <w:rsid w:val="5F674393"/>
    <w:rsid w:val="5F8328B3"/>
    <w:rsid w:val="5FF20C58"/>
    <w:rsid w:val="5FF612D7"/>
    <w:rsid w:val="601E0831"/>
    <w:rsid w:val="60B44CEE"/>
    <w:rsid w:val="60BE0004"/>
    <w:rsid w:val="60CC028A"/>
    <w:rsid w:val="610C43C2"/>
    <w:rsid w:val="61581795"/>
    <w:rsid w:val="617C3A5E"/>
    <w:rsid w:val="6192502F"/>
    <w:rsid w:val="61E41603"/>
    <w:rsid w:val="61EA496C"/>
    <w:rsid w:val="62206ADF"/>
    <w:rsid w:val="6234248F"/>
    <w:rsid w:val="628C4681"/>
    <w:rsid w:val="62B86BBF"/>
    <w:rsid w:val="62E01DCA"/>
    <w:rsid w:val="63065CD5"/>
    <w:rsid w:val="636B5824"/>
    <w:rsid w:val="636C365E"/>
    <w:rsid w:val="63A86D8C"/>
    <w:rsid w:val="63F47351"/>
    <w:rsid w:val="64087DB0"/>
    <w:rsid w:val="642C31C3"/>
    <w:rsid w:val="64435023"/>
    <w:rsid w:val="6445282D"/>
    <w:rsid w:val="64BE438D"/>
    <w:rsid w:val="64D140C0"/>
    <w:rsid w:val="64E42046"/>
    <w:rsid w:val="64FA0B91"/>
    <w:rsid w:val="652A557F"/>
    <w:rsid w:val="658C5661"/>
    <w:rsid w:val="65A000F2"/>
    <w:rsid w:val="65C37EAD"/>
    <w:rsid w:val="65D147F3"/>
    <w:rsid w:val="65DE4CE7"/>
    <w:rsid w:val="65F26F00"/>
    <w:rsid w:val="66012783"/>
    <w:rsid w:val="661D198A"/>
    <w:rsid w:val="662D3578"/>
    <w:rsid w:val="666359E7"/>
    <w:rsid w:val="667E7657"/>
    <w:rsid w:val="66AD6467"/>
    <w:rsid w:val="66CA7019"/>
    <w:rsid w:val="66DE2AC5"/>
    <w:rsid w:val="66ED2D08"/>
    <w:rsid w:val="66EF082E"/>
    <w:rsid w:val="66F67E0E"/>
    <w:rsid w:val="672524A2"/>
    <w:rsid w:val="672E57FA"/>
    <w:rsid w:val="675B2367"/>
    <w:rsid w:val="6760172C"/>
    <w:rsid w:val="67D0240D"/>
    <w:rsid w:val="67E660D5"/>
    <w:rsid w:val="6809591F"/>
    <w:rsid w:val="68796C5E"/>
    <w:rsid w:val="68AD691B"/>
    <w:rsid w:val="68CA1553"/>
    <w:rsid w:val="68F62348"/>
    <w:rsid w:val="696C593E"/>
    <w:rsid w:val="696D1EDE"/>
    <w:rsid w:val="69715E72"/>
    <w:rsid w:val="698F00A6"/>
    <w:rsid w:val="69C075B0"/>
    <w:rsid w:val="69CC30A8"/>
    <w:rsid w:val="69D120BB"/>
    <w:rsid w:val="69F7123C"/>
    <w:rsid w:val="6A0960AB"/>
    <w:rsid w:val="6A1404BD"/>
    <w:rsid w:val="6A3C33DE"/>
    <w:rsid w:val="6A570BC4"/>
    <w:rsid w:val="6A5C442C"/>
    <w:rsid w:val="6A8120E5"/>
    <w:rsid w:val="6A8F47A9"/>
    <w:rsid w:val="6AC1067F"/>
    <w:rsid w:val="6AD14E1A"/>
    <w:rsid w:val="6B0D1BCA"/>
    <w:rsid w:val="6B2D401B"/>
    <w:rsid w:val="6B6D6772"/>
    <w:rsid w:val="6B7E6624"/>
    <w:rsid w:val="6BA77929"/>
    <w:rsid w:val="6BD52A95"/>
    <w:rsid w:val="6BFF7DDF"/>
    <w:rsid w:val="6C0B435C"/>
    <w:rsid w:val="6C3C372C"/>
    <w:rsid w:val="6C472EBA"/>
    <w:rsid w:val="6CF21078"/>
    <w:rsid w:val="6CFE5C61"/>
    <w:rsid w:val="6D57593E"/>
    <w:rsid w:val="6D611D5A"/>
    <w:rsid w:val="6D7221B9"/>
    <w:rsid w:val="6D851EEC"/>
    <w:rsid w:val="6D932306"/>
    <w:rsid w:val="6DA305C4"/>
    <w:rsid w:val="6DA47445"/>
    <w:rsid w:val="6DCF3167"/>
    <w:rsid w:val="6DD32C57"/>
    <w:rsid w:val="6DDD3AD6"/>
    <w:rsid w:val="6E7112B3"/>
    <w:rsid w:val="6E8126B3"/>
    <w:rsid w:val="6ECE131C"/>
    <w:rsid w:val="6F183682"/>
    <w:rsid w:val="6F4E2DB8"/>
    <w:rsid w:val="6F754AB0"/>
    <w:rsid w:val="6FA0300D"/>
    <w:rsid w:val="6FE838DA"/>
    <w:rsid w:val="6FF800FD"/>
    <w:rsid w:val="70127ACB"/>
    <w:rsid w:val="70335C2F"/>
    <w:rsid w:val="70A26911"/>
    <w:rsid w:val="70BC5540"/>
    <w:rsid w:val="711F328F"/>
    <w:rsid w:val="715916C6"/>
    <w:rsid w:val="716D750F"/>
    <w:rsid w:val="717604C9"/>
    <w:rsid w:val="717E2EDA"/>
    <w:rsid w:val="71864485"/>
    <w:rsid w:val="71C64881"/>
    <w:rsid w:val="71F633B8"/>
    <w:rsid w:val="72323CC5"/>
    <w:rsid w:val="724D2EF5"/>
    <w:rsid w:val="725B2CC5"/>
    <w:rsid w:val="728704B4"/>
    <w:rsid w:val="728E1843"/>
    <w:rsid w:val="72975A63"/>
    <w:rsid w:val="72E149A9"/>
    <w:rsid w:val="73510D90"/>
    <w:rsid w:val="7399285F"/>
    <w:rsid w:val="73B47087"/>
    <w:rsid w:val="73F76F74"/>
    <w:rsid w:val="73F92CEC"/>
    <w:rsid w:val="740D2C3B"/>
    <w:rsid w:val="749018A2"/>
    <w:rsid w:val="74AF62A2"/>
    <w:rsid w:val="755B731D"/>
    <w:rsid w:val="75790588"/>
    <w:rsid w:val="757E38AE"/>
    <w:rsid w:val="75A849CA"/>
    <w:rsid w:val="75BA294F"/>
    <w:rsid w:val="75D63CB4"/>
    <w:rsid w:val="76397D18"/>
    <w:rsid w:val="764C17F9"/>
    <w:rsid w:val="76DB69F8"/>
    <w:rsid w:val="76E25CB9"/>
    <w:rsid w:val="77244524"/>
    <w:rsid w:val="772A140E"/>
    <w:rsid w:val="77505319"/>
    <w:rsid w:val="77626FE2"/>
    <w:rsid w:val="777059BB"/>
    <w:rsid w:val="77F959B0"/>
    <w:rsid w:val="78160310"/>
    <w:rsid w:val="78433808"/>
    <w:rsid w:val="78454752"/>
    <w:rsid w:val="78AA42BD"/>
    <w:rsid w:val="78CF4963"/>
    <w:rsid w:val="78D855C6"/>
    <w:rsid w:val="792E3438"/>
    <w:rsid w:val="796E5F2A"/>
    <w:rsid w:val="79B7342D"/>
    <w:rsid w:val="7A15284A"/>
    <w:rsid w:val="7A2800DC"/>
    <w:rsid w:val="7A41363F"/>
    <w:rsid w:val="7A5C2227"/>
    <w:rsid w:val="7A715CD2"/>
    <w:rsid w:val="7A7A6EC4"/>
    <w:rsid w:val="7A995229"/>
    <w:rsid w:val="7ACD0A2E"/>
    <w:rsid w:val="7B0501C8"/>
    <w:rsid w:val="7B450F0D"/>
    <w:rsid w:val="7B7B048A"/>
    <w:rsid w:val="7BA43E85"/>
    <w:rsid w:val="7BCC0CE6"/>
    <w:rsid w:val="7BE61DA8"/>
    <w:rsid w:val="7C0861C2"/>
    <w:rsid w:val="7C0B5CB2"/>
    <w:rsid w:val="7C4D133D"/>
    <w:rsid w:val="7C5E5DE2"/>
    <w:rsid w:val="7C86358B"/>
    <w:rsid w:val="7CDE33C7"/>
    <w:rsid w:val="7D0C3A90"/>
    <w:rsid w:val="7D2F3C22"/>
    <w:rsid w:val="7D376633"/>
    <w:rsid w:val="7D39684F"/>
    <w:rsid w:val="7D397AE4"/>
    <w:rsid w:val="7D60202E"/>
    <w:rsid w:val="7DB52379"/>
    <w:rsid w:val="7DC738FF"/>
    <w:rsid w:val="7DE92023"/>
    <w:rsid w:val="7DF44049"/>
    <w:rsid w:val="7DFA7D8C"/>
    <w:rsid w:val="7E937541"/>
    <w:rsid w:val="7ECB7B28"/>
    <w:rsid w:val="7F9A1896"/>
    <w:rsid w:val="7FC22B2C"/>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tLeast"/>
      <w:outlineLvl w:val="1"/>
    </w:pPr>
    <w:rPr>
      <w:rFonts w:ascii="Cambria" w:hAnsi="Cambria"/>
      <w:b/>
      <w:bCs/>
      <w:szCs w:val="32"/>
    </w:rPr>
  </w:style>
  <w:style w:type="paragraph" w:styleId="4">
    <w:name w:val="heading 3"/>
    <w:basedOn w:val="1"/>
    <w:next w:val="1"/>
    <w:qFormat/>
    <w:uiPriority w:val="9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table of authorities"/>
    <w:basedOn w:val="1"/>
    <w:next w:val="1"/>
    <w:qFormat/>
    <w:uiPriority w:val="0"/>
    <w:pPr>
      <w:ind w:left="420" w:leftChars="200"/>
    </w:pPr>
    <w:rPr>
      <w:rFonts w:eastAsia="新宋体"/>
      <w:szCs w:val="20"/>
    </w:rPr>
  </w:style>
  <w:style w:type="paragraph" w:styleId="7">
    <w:name w:val="Normal Indent"/>
    <w:basedOn w:val="1"/>
    <w:unhideWhenUsed/>
    <w:qFormat/>
    <w:uiPriority w:val="99"/>
    <w:pPr>
      <w:ind w:firstLine="200" w:firstLineChars="200"/>
    </w:pPr>
    <w:rPr>
      <w:rFonts w:ascii="宋体" w:hAnsi="宋体"/>
      <w:sz w:val="28"/>
    </w:rPr>
  </w:style>
  <w:style w:type="paragraph" w:styleId="8">
    <w:name w:val="Body Text Indent"/>
    <w:basedOn w:val="1"/>
    <w:next w:val="9"/>
    <w:semiHidden/>
    <w:qFormat/>
    <w:uiPriority w:val="0"/>
    <w:pPr>
      <w:snapToGrid w:val="0"/>
      <w:spacing w:after="120" w:line="300" w:lineRule="auto"/>
      <w:ind w:firstLine="480"/>
    </w:pPr>
    <w:rPr>
      <w:rFonts w:ascii="楷体_GB2312" w:eastAsia="楷体_GB2312"/>
      <w:sz w:val="26"/>
    </w:rPr>
  </w:style>
  <w:style w:type="paragraph" w:styleId="9">
    <w:name w:val="Body Text Indent 2"/>
    <w:basedOn w:val="1"/>
    <w:qFormat/>
    <w:uiPriority w:val="0"/>
    <w:pPr>
      <w:widowControl w:val="0"/>
      <w:spacing w:after="120" w:line="480" w:lineRule="auto"/>
      <w:ind w:left="420" w:leftChars="200"/>
      <w:jc w:val="both"/>
    </w:pPr>
    <w:rPr>
      <w:rFonts w:ascii="Times New Roman" w:hAnsi="Times New Roman" w:eastAsia="宋体" w:cs="宋体"/>
      <w:kern w:val="2"/>
      <w:sz w:val="21"/>
      <w:szCs w:val="24"/>
      <w:lang w:val="en-US" w:eastAsia="zh-CN" w:bidi="ar-SA"/>
    </w:rPr>
  </w:style>
  <w:style w:type="paragraph" w:styleId="10">
    <w:name w:val="Balloon Text"/>
    <w:basedOn w:val="1"/>
    <w:link w:val="32"/>
    <w:semiHidden/>
    <w:unhideWhenUsed/>
    <w:qFormat/>
    <w:uiPriority w:val="99"/>
    <w:rPr>
      <w:sz w:val="18"/>
      <w:szCs w:val="18"/>
    </w:rPr>
  </w:style>
  <w:style w:type="paragraph" w:styleId="11">
    <w:name w:val="footer"/>
    <w:basedOn w:val="1"/>
    <w:link w:val="22"/>
    <w:qFormat/>
    <w:uiPriority w:val="0"/>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000000"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val="0"/>
      <w:spacing w:before="100" w:beforeAutospacing="1" w:after="100" w:afterAutospacing="1"/>
      <w:jc w:val="left"/>
      <w:textAlignment w:val="auto"/>
    </w:pPr>
    <w:rPr>
      <w:rFonts w:ascii="Times New Roman" w:hAnsi="Times New Roman"/>
      <w:kern w:val="0"/>
      <w:sz w:val="24"/>
    </w:rPr>
  </w:style>
  <w:style w:type="paragraph" w:styleId="14">
    <w:name w:val="Body Text First Indent"/>
    <w:basedOn w:val="2"/>
    <w:qFormat/>
    <w:uiPriority w:val="0"/>
    <w:pPr>
      <w:ind w:firstLine="420" w:firstLineChars="100"/>
    </w:pPr>
  </w:style>
  <w:style w:type="character" w:styleId="17">
    <w:name w:val="Emphasis"/>
    <w:qFormat/>
    <w:uiPriority w:val="0"/>
    <w:rPr>
      <w:i/>
      <w:iCs/>
    </w:rPr>
  </w:style>
  <w:style w:type="character" w:customStyle="1" w:styleId="18">
    <w:name w:val="NormalCharacter"/>
    <w:qFormat/>
    <w:uiPriority w:val="0"/>
  </w:style>
  <w:style w:type="table" w:customStyle="1" w:styleId="19">
    <w:name w:val="TableNormal"/>
    <w:semiHidden/>
    <w:qFormat/>
    <w:uiPriority w:val="0"/>
    <w:tblPr>
      <w:tblCellMar>
        <w:top w:w="0" w:type="dxa"/>
        <w:left w:w="0" w:type="dxa"/>
        <w:bottom w:w="0" w:type="dxa"/>
        <w:right w:w="0" w:type="dxa"/>
      </w:tblCellMar>
    </w:tblPr>
  </w:style>
  <w:style w:type="character" w:customStyle="1" w:styleId="20">
    <w:name w:val="AnnotationReference"/>
    <w:qFormat/>
    <w:uiPriority w:val="0"/>
    <w:rPr>
      <w:sz w:val="21"/>
      <w:szCs w:val="21"/>
    </w:rPr>
  </w:style>
  <w:style w:type="character" w:customStyle="1" w:styleId="21">
    <w:name w:val="页眉 Char"/>
    <w:link w:val="12"/>
    <w:qFormat/>
    <w:uiPriority w:val="0"/>
    <w:rPr>
      <w:kern w:val="2"/>
      <w:sz w:val="18"/>
      <w:szCs w:val="18"/>
    </w:rPr>
  </w:style>
  <w:style w:type="character" w:customStyle="1" w:styleId="22">
    <w:name w:val="页脚 Char"/>
    <w:link w:val="11"/>
    <w:qFormat/>
    <w:uiPriority w:val="0"/>
    <w:rPr>
      <w:kern w:val="2"/>
      <w:sz w:val="18"/>
      <w:szCs w:val="18"/>
    </w:rPr>
  </w:style>
  <w:style w:type="character" w:customStyle="1" w:styleId="23">
    <w:name w:val="UserStyle_2"/>
    <w:link w:val="24"/>
    <w:qFormat/>
    <w:uiPriority w:val="0"/>
    <w:rPr>
      <w:kern w:val="2"/>
      <w:sz w:val="21"/>
      <w:szCs w:val="24"/>
    </w:rPr>
  </w:style>
  <w:style w:type="paragraph" w:customStyle="1" w:styleId="24">
    <w:name w:val="AnnotationText"/>
    <w:basedOn w:val="1"/>
    <w:link w:val="23"/>
    <w:qFormat/>
    <w:uiPriority w:val="0"/>
    <w:pPr>
      <w:jc w:val="left"/>
    </w:pPr>
  </w:style>
  <w:style w:type="character" w:customStyle="1" w:styleId="25">
    <w:name w:val="UserStyle_3"/>
    <w:link w:val="26"/>
    <w:qFormat/>
    <w:uiPriority w:val="0"/>
    <w:rPr>
      <w:rFonts w:cs="Times New Roman"/>
      <w:b/>
      <w:bCs/>
      <w:kern w:val="2"/>
      <w:sz w:val="21"/>
      <w:szCs w:val="24"/>
    </w:rPr>
  </w:style>
  <w:style w:type="paragraph" w:customStyle="1" w:styleId="26">
    <w:name w:val="AnnotationSubject"/>
    <w:basedOn w:val="24"/>
    <w:next w:val="24"/>
    <w:link w:val="25"/>
    <w:qFormat/>
    <w:uiPriority w:val="0"/>
  </w:style>
  <w:style w:type="character" w:customStyle="1" w:styleId="27">
    <w:name w:val="UserStyle_4"/>
    <w:link w:val="28"/>
    <w:qFormat/>
    <w:uiPriority w:val="0"/>
    <w:rPr>
      <w:kern w:val="2"/>
      <w:sz w:val="18"/>
      <w:szCs w:val="18"/>
    </w:rPr>
  </w:style>
  <w:style w:type="paragraph" w:customStyle="1" w:styleId="28">
    <w:name w:val="Acetate"/>
    <w:basedOn w:val="1"/>
    <w:link w:val="27"/>
    <w:qFormat/>
    <w:uiPriority w:val="0"/>
    <w:rPr>
      <w:sz w:val="18"/>
      <w:szCs w:val="18"/>
    </w:rPr>
  </w:style>
  <w:style w:type="paragraph" w:customStyle="1" w:styleId="29">
    <w:name w:val="178"/>
    <w:qFormat/>
    <w:uiPriority w:val="0"/>
    <w:pPr>
      <w:textAlignment w:val="baseline"/>
    </w:pPr>
    <w:rPr>
      <w:rFonts w:ascii="Calibri" w:hAnsi="Calibri" w:eastAsia="宋体" w:cs="Times New Roman"/>
      <w:kern w:val="2"/>
      <w:sz w:val="21"/>
      <w:szCs w:val="24"/>
      <w:lang w:val="en-US" w:eastAsia="zh-CN" w:bidi="ar-SA"/>
    </w:rPr>
  </w:style>
  <w:style w:type="paragraph" w:customStyle="1" w:styleId="30">
    <w:name w:val="UserStyle_5"/>
    <w:qFormat/>
    <w:uiPriority w:val="0"/>
    <w:pPr>
      <w:jc w:val="both"/>
      <w:textAlignment w:val="baseline"/>
    </w:pPr>
    <w:rPr>
      <w:rFonts w:ascii="Times New Roman" w:hAnsi="Times New Roman" w:eastAsia="仿宋_GB2312" w:cs="Times New Roman"/>
      <w:kern w:val="2"/>
      <w:sz w:val="32"/>
      <w:szCs w:val="32"/>
      <w:lang w:val="en-US" w:eastAsia="zh-CN" w:bidi="ar-SA"/>
    </w:rPr>
  </w:style>
  <w:style w:type="paragraph" w:customStyle="1" w:styleId="31">
    <w:name w:val="HtmlNormal"/>
    <w:basedOn w:val="1"/>
    <w:qFormat/>
    <w:uiPriority w:val="0"/>
    <w:pPr>
      <w:spacing w:before="100" w:beforeAutospacing="1" w:after="100" w:afterAutospacing="1"/>
      <w:jc w:val="left"/>
    </w:pPr>
    <w:rPr>
      <w:rFonts w:ascii="宋体" w:hAnsi="宋体"/>
      <w:kern w:val="0"/>
      <w:sz w:val="24"/>
    </w:rPr>
  </w:style>
  <w:style w:type="character" w:customStyle="1" w:styleId="32">
    <w:name w:val="批注框文本 Char"/>
    <w:basedOn w:val="16"/>
    <w:link w:val="10"/>
    <w:semiHidden/>
    <w:qFormat/>
    <w:uiPriority w:val="99"/>
    <w:rPr>
      <w:kern w:val="2"/>
      <w:sz w:val="18"/>
      <w:szCs w:val="18"/>
    </w:rPr>
  </w:style>
  <w:style w:type="paragraph" w:styleId="33">
    <w:name w:val="List Paragraph"/>
    <w:basedOn w:val="1"/>
    <w:qFormat/>
    <w:uiPriority w:val="99"/>
    <w:pPr>
      <w:ind w:firstLine="420" w:firstLineChars="200"/>
    </w:pPr>
  </w:style>
  <w:style w:type="paragraph" w:customStyle="1" w:styleId="34">
    <w:name w:val="正文1"/>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customStyle="1" w:styleId="35">
    <w:name w:val="正文文本缩进1"/>
    <w:qFormat/>
    <w:uiPriority w:val="0"/>
    <w:pPr>
      <w:widowControl w:val="0"/>
      <w:pBdr>
        <w:top w:val="none" w:color="000000" w:sz="0" w:space="0"/>
        <w:left w:val="none" w:color="000000" w:sz="0" w:space="0"/>
        <w:bottom w:val="none" w:color="000000" w:sz="0" w:space="9"/>
        <w:right w:val="none" w:color="000000" w:sz="0" w:space="0"/>
      </w:pBdr>
      <w:adjustRightInd w:val="0"/>
      <w:snapToGrid w:val="0"/>
      <w:spacing w:line="594" w:lineRule="exact"/>
      <w:ind w:firstLine="640" w:firstLineChars="200"/>
      <w:jc w:val="both"/>
    </w:pPr>
    <w:rPr>
      <w:rFonts w:ascii="方正仿宋_GBK" w:hAnsi="Times New Roman" w:eastAsia="方正仿宋_GBK" w:cs="Times New Roman"/>
      <w:snapToGrid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9853</Words>
  <Characters>10032</Characters>
  <Lines>28</Lines>
  <Paragraphs>8</Paragraphs>
  <TotalTime>0</TotalTime>
  <ScaleCrop>false</ScaleCrop>
  <LinksUpToDate>false</LinksUpToDate>
  <CharactersWithSpaces>10484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2024-09-10T03:44:00Z</dcterms:created>
  <dc:creator>Administrator</dc:creator>
  <cp:lastModifiedBy>陈杰</cp:lastModifiedBy>
  <cp:lastPrinted>2025-02-06T03:03:00Z</cp:lastPrinted>
  <dcterms:modified xsi:type="dcterms:W3CDTF">2025-05-12T06:28:25Z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0540B315312644C0BE0942E604D24A06_13</vt:lpwstr>
  </property>
  <property fmtid="{D5CDD505-2E9C-101B-9397-08002B2CF9AE}" pid="4" name="KSOTemplateDocerSaveRecord">
    <vt:lpwstr>eyJoZGlkIjoiMWZhYjg2YWFjZGQyMzg1ZmNlMzA3MjIyZjEyNGU4OTUiLCJ1c2VySWQiOiIxNjcwNjczNjQ2In0=</vt:lpwstr>
  </property>
</Properties>
</file>